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94" w:rsidRPr="00B234DC" w:rsidRDefault="00B234DC" w:rsidP="00B270F2">
      <w:pPr>
        <w:pStyle w:val="Title-Professional"/>
        <w:pBdr>
          <w:top w:val="single" w:sz="6" w:space="1" w:color="000080"/>
          <w:left w:val="single" w:sz="6" w:space="15" w:color="000080"/>
          <w:bottom w:val="single" w:sz="6" w:space="3" w:color="000080"/>
          <w:right w:val="single" w:sz="6" w:space="2" w:color="000080"/>
        </w:pBdr>
        <w:tabs>
          <w:tab w:val="left" w:pos="212"/>
          <w:tab w:val="center" w:pos="4680"/>
        </w:tabs>
        <w:spacing w:after="0" w:line="240" w:lineRule="auto"/>
        <w:jc w:val="left"/>
        <w:rPr>
          <w:b/>
          <w:position w:val="30"/>
          <w:sz w:val="56"/>
          <w:szCs w:val="56"/>
          <w14:shadow w14:blurRad="50800" w14:dist="38100" w14:dir="2700000" w14:sx="100000" w14:sy="100000" w14:kx="0" w14:ky="0" w14:algn="tl">
            <w14:srgbClr w14:val="000000">
              <w14:alpha w14:val="60000"/>
            </w14:srgbClr>
          </w14:shadow>
        </w:rPr>
      </w:pPr>
      <w:r>
        <w:rPr>
          <w:b/>
          <w:i/>
          <w:noProof/>
          <w:position w:val="30"/>
          <w:sz w:val="56"/>
          <w:szCs w:val="56"/>
          <w:lang w:bidi="ar-SA"/>
        </w:rPr>
        <mc:AlternateContent>
          <mc:Choice Requires="wps">
            <w:drawing>
              <wp:anchor distT="0" distB="0" distL="114300" distR="114300" simplePos="0" relativeHeight="251689984" behindDoc="0" locked="0" layoutInCell="1" allowOverlap="1" wp14:anchorId="0D5D1288" wp14:editId="469C9E82">
                <wp:simplePos x="0" y="0"/>
                <wp:positionH relativeFrom="column">
                  <wp:posOffset>3850640</wp:posOffset>
                </wp:positionH>
                <wp:positionV relativeFrom="paragraph">
                  <wp:posOffset>10160</wp:posOffset>
                </wp:positionV>
                <wp:extent cx="1783715" cy="700405"/>
                <wp:effectExtent l="2540" t="635" r="0" b="381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B8" w:rsidRPr="00B270F2" w:rsidRDefault="00800F4F" w:rsidP="00B270F2">
                            <w:r>
                              <w:rPr>
                                <w:b/>
                                <w:i/>
                                <w:color w:val="242988"/>
                                <w:sz w:val="68"/>
                                <w:szCs w:val="6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22.65pt;height:45.7pt" fillcolor="#493d87" strokecolor="#7030a0">
                                  <v:fill color2="#dfdbe5"/>
                                  <v:shadow on="t" color="#4d4d4d" opacity="52429f" offset=",3pt"/>
                                  <v:textpath style="font-family:&quot;Arial Black&quot;;v-text-spacing:78650f;v-text-kern:t" trim="t" fitpath="t" string="Insider"/>
                                </v:shape>
                              </w:pi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03.2pt;margin-top:.8pt;width:140.45pt;height:55.1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" stroked="f">
                <v:textbox>
                  <w:txbxContent>
                    <w:p w:rsidR="009546B8" w:rsidRPr="00B270F2" w:rsidRDefault="00815A9E" w:rsidP="00B270F2">
                      <w:r>
                        <w:rPr>
                          <w:b/>
                          <w:i/>
                          <w:color w:val="242988"/>
                          <w:sz w:val="68"/>
                          <w:szCs w:val="68"/>
                        </w:rPr>
                        <w:pict>
                          <v:shape id="_x0000_i1025" type="#_x0000_t136" style="width:122.75pt;height:45.8pt" fillcolor="#493d87" strokecolor="#7030a0">
                            <v:fill color2="#dfdbe5"/>
                            <v:shadow on="t" color="#4d4d4d" opacity="52429f" offset=",3pt"/>
                            <v:textpath style="font-family:&quot;Arial Black&quot;;v-text-spacing:78650f;v-text-kern:t" trim="t" fitpath="t" string="Insider"/>
                          </v:shape>
                        </w:pict>
                      </w:r>
                    </w:p>
                  </w:txbxContent>
                </v:textbox>
              </v:shape>
            </w:pict>
          </mc:Fallback>
        </mc:AlternateContent>
      </w:r>
      <w:r w:rsidR="00762984">
        <w:rPr>
          <w:b/>
          <w:noProof/>
          <w:lang w:bidi="ar-SA"/>
        </w:rPr>
        <w:drawing>
          <wp:inline distT="0" distB="0" distL="0" distR="0" wp14:anchorId="0179B66D" wp14:editId="355814DE">
            <wp:extent cx="1250431" cy="73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 Logo new color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3688" cy="739676"/>
                    </a:xfrm>
                    <a:prstGeom prst="rect">
                      <a:avLst/>
                    </a:prstGeom>
                    <a:noFill/>
                    <a:ln w="9525">
                      <a:noFill/>
                      <a:miter lim="800000"/>
                      <a:headEnd/>
                      <a:tailEnd/>
                    </a:ln>
                  </pic:spPr>
                </pic:pic>
              </a:graphicData>
            </a:graphic>
          </wp:inline>
        </w:drawing>
      </w:r>
      <w:r w:rsidR="006439C2">
        <w:rPr>
          <w:b/>
        </w:rPr>
        <w:t xml:space="preserve">         </w:t>
      </w:r>
      <w:r w:rsidR="004F5487" w:rsidRPr="00615CE0">
        <w:rPr>
          <w:b/>
        </w:rPr>
        <w:t xml:space="preserve"> </w:t>
      </w:r>
      <w:r w:rsidR="00D67EE4">
        <w:rPr>
          <w:b/>
        </w:rPr>
        <w:t xml:space="preserve"> </w:t>
      </w:r>
      <w:r w:rsidR="00B270F2" w:rsidRPr="00B234DC">
        <w:rPr>
          <w:b/>
          <w:i/>
          <w:position w:val="30"/>
          <w:sz w:val="56"/>
          <w:szCs w:val="56"/>
          <w14:shadow w14:blurRad="50800" w14:dist="38100" w14:dir="2700000" w14:sx="100000" w14:sy="100000" w14:kx="0" w14:ky="0" w14:algn="tl">
            <w14:srgbClr w14:val="000000">
              <w14:alpha w14:val="60000"/>
            </w14:srgbClr>
          </w14:shadow>
        </w:rPr>
        <w:t xml:space="preserve">  </w:t>
      </w:r>
    </w:p>
    <w:p w:rsidR="009E7484" w:rsidRDefault="001721E8" w:rsidP="004318D8">
      <w:pPr>
        <w:pBdr>
          <w:bottom w:val="single" w:sz="18" w:space="0" w:color="000080"/>
        </w:pBdr>
        <w:tabs>
          <w:tab w:val="left" w:pos="1560"/>
        </w:tabs>
        <w:ind w:left="-288"/>
        <w:outlineLvl w:val="0"/>
        <w:rPr>
          <w:i/>
          <w:sz w:val="28"/>
          <w:szCs w:val="28"/>
        </w:rPr>
      </w:pPr>
      <w:r>
        <w:rPr>
          <w:noProof/>
        </w:rPr>
        <mc:AlternateContent>
          <mc:Choice Requires="wps">
            <w:drawing>
              <wp:anchor distT="0" distB="0" distL="114300" distR="114300" simplePos="0" relativeHeight="251752448" behindDoc="0" locked="0" layoutInCell="1" allowOverlap="1" wp14:anchorId="0F255501" wp14:editId="263AC9DD">
                <wp:simplePos x="0" y="0"/>
                <wp:positionH relativeFrom="column">
                  <wp:posOffset>-90170</wp:posOffset>
                </wp:positionH>
                <wp:positionV relativeFrom="paragraph">
                  <wp:posOffset>346710</wp:posOffset>
                </wp:positionV>
                <wp:extent cx="5832475" cy="581660"/>
                <wp:effectExtent l="0" t="0" r="0" b="8890"/>
                <wp:wrapNone/>
                <wp:docPr id="31" name="Text Box 31"/>
                <wp:cNvGraphicFramePr/>
                <a:graphic xmlns:a="http://schemas.openxmlformats.org/drawingml/2006/main">
                  <a:graphicData uri="http://schemas.microsoft.com/office/word/2010/wordprocessingShape">
                    <wps:wsp>
                      <wps:cNvSpPr txBox="1"/>
                      <wps:spPr>
                        <a:xfrm>
                          <a:off x="0" y="0"/>
                          <a:ext cx="5832475" cy="581660"/>
                        </a:xfrm>
                        <a:prstGeom prst="rect">
                          <a:avLst/>
                        </a:prstGeom>
                        <a:noFill/>
                        <a:ln>
                          <a:noFill/>
                        </a:ln>
                        <a:effectLst/>
                      </wps:spPr>
                      <wps:txbx>
                        <w:txbxContent>
                          <w:p w:rsidR="00B5065B" w:rsidRPr="00B64026" w:rsidRDefault="00B5065B" w:rsidP="00B5065B">
                            <w:pPr>
                              <w:jc w:val="center"/>
                              <w:rPr>
                                <w:b/>
                                <w:caps/>
                                <w:color w:val="493D87"/>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B64026">
                              <w:rPr>
                                <w:b/>
                                <w:caps/>
                                <w:color w:val="493D87"/>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announcement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7.1pt;margin-top:27.3pt;width:459.25pt;height:45.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" filled="f" stroked="f">
                <v:textbox>
                  <w:txbxContent>
                    <w:p w:rsidR="00B5065B" w:rsidRPr="00B64026" w:rsidRDefault="00B5065B" w:rsidP="00B5065B">
                      <w:pPr>
                        <w:jc w:val="center"/>
                        <w:rPr>
                          <w:b/>
                          <w:caps/>
                          <w:color w:val="493D87"/>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B64026">
                        <w:rPr>
                          <w:b/>
                          <w:caps/>
                          <w:color w:val="493D87"/>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announcement</w:t>
                      </w:r>
                    </w:p>
                  </w:txbxContent>
                </v:textbox>
              </v:shape>
            </w:pict>
          </mc:Fallback>
        </mc:AlternateContent>
      </w:r>
      <w:r w:rsidR="00070409">
        <w:rPr>
          <w:noProof/>
          <w:sz w:val="28"/>
          <w:szCs w:val="28"/>
          <w:lang w:eastAsia="zh-TW"/>
        </w:rPr>
        <w:t>J</w:t>
      </w:r>
      <w:r w:rsidR="00E125CF">
        <w:rPr>
          <w:noProof/>
          <w:sz w:val="28"/>
          <w:szCs w:val="28"/>
          <w:lang w:eastAsia="zh-TW"/>
        </w:rPr>
        <w:t>ul</w:t>
      </w:r>
      <w:r w:rsidR="00070409">
        <w:rPr>
          <w:noProof/>
          <w:sz w:val="28"/>
          <w:szCs w:val="28"/>
          <w:lang w:eastAsia="zh-TW"/>
        </w:rPr>
        <w:t>y/</w:t>
      </w:r>
      <w:r w:rsidR="00E125CF">
        <w:rPr>
          <w:noProof/>
          <w:sz w:val="28"/>
          <w:szCs w:val="28"/>
          <w:lang w:eastAsia="zh-TW"/>
        </w:rPr>
        <w:t>August</w:t>
      </w:r>
      <w:r w:rsidR="00070409">
        <w:rPr>
          <w:i/>
          <w:sz w:val="28"/>
          <w:szCs w:val="28"/>
        </w:rPr>
        <w:t xml:space="preserve"> 201</w:t>
      </w:r>
      <w:r w:rsidR="00463839">
        <w:rPr>
          <w:i/>
          <w:sz w:val="28"/>
          <w:szCs w:val="28"/>
        </w:rPr>
        <w:t>3</w:t>
      </w:r>
      <w:r w:rsidR="007B1CF3">
        <w:rPr>
          <w:i/>
          <w:sz w:val="28"/>
          <w:szCs w:val="28"/>
        </w:rPr>
        <w:t xml:space="preserve">                           </w:t>
      </w:r>
      <w:r w:rsidR="004318D8">
        <w:rPr>
          <w:i/>
          <w:sz w:val="28"/>
          <w:szCs w:val="28"/>
        </w:rPr>
        <w:tab/>
      </w:r>
      <w:r w:rsidR="004318D8">
        <w:rPr>
          <w:i/>
          <w:sz w:val="28"/>
          <w:szCs w:val="28"/>
        </w:rPr>
        <w:tab/>
      </w:r>
      <w:r w:rsidR="0033546F">
        <w:rPr>
          <w:i/>
          <w:sz w:val="28"/>
          <w:szCs w:val="28"/>
        </w:rPr>
        <w:t xml:space="preserve">       </w:t>
      </w:r>
    </w:p>
    <w:p w:rsidR="006D7C29" w:rsidRDefault="006D7C29" w:rsidP="006D7C29">
      <w:pPr>
        <w:pStyle w:val="NoSpacing"/>
        <w:jc w:val="left"/>
        <w:sectPr w:rsidR="006D7C29" w:rsidSect="00463839">
          <w:type w:val="continuous"/>
          <w:pgSz w:w="12240" w:h="15840" w:code="1"/>
          <w:pgMar w:top="1008" w:right="1152" w:bottom="720" w:left="1440" w:header="720" w:footer="720" w:gutter="0"/>
          <w:pgBorders w:offsetFrom="page">
            <w:top w:val="single" w:sz="48" w:space="24" w:color="594183"/>
            <w:left w:val="single" w:sz="48" w:space="24" w:color="594183"/>
            <w:bottom w:val="single" w:sz="48" w:space="24" w:color="594183"/>
            <w:right w:val="single" w:sz="48" w:space="24" w:color="594183"/>
          </w:pgBorders>
          <w:cols w:space="432"/>
          <w:docGrid w:linePitch="360"/>
        </w:sectPr>
      </w:pPr>
    </w:p>
    <w:p w:rsidR="00065A3D" w:rsidRPr="00065A3D" w:rsidRDefault="00065A3D" w:rsidP="00065A3D">
      <w:pPr>
        <w:rPr>
          <w:sz w:val="28"/>
          <w:szCs w:val="28"/>
        </w:rPr>
      </w:pPr>
    </w:p>
    <w:p w:rsidR="001721E8" w:rsidRPr="001721E8" w:rsidRDefault="001721E8" w:rsidP="00065A3D">
      <w:pPr>
        <w:rPr>
          <w:sz w:val="4"/>
          <w:szCs w:val="4"/>
        </w:rPr>
      </w:pPr>
    </w:p>
    <w:p w:rsidR="00B64026" w:rsidRDefault="00B64026" w:rsidP="00065A3D">
      <w:pPr>
        <w:rPr>
          <w:sz w:val="24"/>
          <w:szCs w:val="24"/>
        </w:rPr>
      </w:pPr>
      <w:r>
        <w:rPr>
          <w:noProof/>
          <w:color w:val="0000FF"/>
        </w:rPr>
        <w:drawing>
          <wp:anchor distT="0" distB="0" distL="114300" distR="114300" simplePos="0" relativeHeight="251756544" behindDoc="1" locked="0" layoutInCell="1" allowOverlap="1" wp14:anchorId="7886EFC7" wp14:editId="6BA9A81E">
            <wp:simplePos x="0" y="0"/>
            <wp:positionH relativeFrom="column">
              <wp:posOffset>4711931</wp:posOffset>
            </wp:positionH>
            <wp:positionV relativeFrom="paragraph">
              <wp:posOffset>1814196</wp:posOffset>
            </wp:positionV>
            <wp:extent cx="1586345" cy="1191438"/>
            <wp:effectExtent l="0" t="0" r="0" b="8890"/>
            <wp:wrapNone/>
            <wp:docPr id="35" name="irc_mi" descr="http://t2.gstatic.com/images?q=tbn:ANd9GcT6z_Jua_tXF8rI7qdqamYyt-dYssydLjtXWbvnCod-cy5Y6-K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6z_Jua_tXF8rI7qdqamYyt-dYssydLjtXWbvnCod-cy5Y6-K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6345" cy="1191438"/>
                    </a:xfrm>
                    <a:prstGeom prst="rect">
                      <a:avLst/>
                    </a:prstGeom>
                    <a:noFill/>
                    <a:ln>
                      <a:noFill/>
                    </a:ln>
                  </pic:spPr>
                </pic:pic>
              </a:graphicData>
            </a:graphic>
            <wp14:sizeRelH relativeFrom="page">
              <wp14:pctWidth>0</wp14:pctWidth>
            </wp14:sizeRelH>
            <wp14:sizeRelV relativeFrom="page">
              <wp14:pctHeight>0</wp14:pctHeight>
            </wp14:sizeRelV>
          </wp:anchor>
        </w:drawing>
      </w:r>
      <w:r w:rsidR="00B5065B" w:rsidRPr="00B5065B">
        <w:rPr>
          <w:sz w:val="24"/>
          <w:szCs w:val="24"/>
        </w:rPr>
        <w:t xml:space="preserve">Hammel, Beal &amp; Lauer, P.C. is pleased to announce that it has merged with Tucson firm DeVries CPAs of Arizona, P.C. effective May 1, 2013. Our merger joins two highly respected accounting firms each with an established presence and excellent reputation in their business communities. As one of Tucson’s premier accounting and consulting firms for over 40 years in all facets of business, personal, financial planning and tax matters, Hammel, Beal &amp;  Lauer is </w:t>
      </w:r>
      <w:r w:rsidR="00B5065B">
        <w:rPr>
          <w:sz w:val="24"/>
          <w:szCs w:val="24"/>
        </w:rPr>
        <w:t>proud</w:t>
      </w:r>
      <w:r w:rsidR="00B5065B" w:rsidRPr="00B5065B">
        <w:rPr>
          <w:sz w:val="24"/>
          <w:szCs w:val="24"/>
        </w:rPr>
        <w:t xml:space="preserve"> to partner with DeVries CPAs of Arizona, P.C., an established major accounting and auditing firm with a special mission to serve nonprofit organizations throughout Arizona. Our newly merged firm has been renamed HBL CPAs, P.C. and has over 40 staff, including 5 partners. We are excited about the opportunities for added expertise and services that we can offer to our clients as we continue to provide personal attention and excellent service to meet all of your accounting needs. </w:t>
      </w:r>
    </w:p>
    <w:p w:rsidR="00065A3D" w:rsidRPr="00B5065B" w:rsidRDefault="00065A3D" w:rsidP="00B64026">
      <w:pPr>
        <w:jc w:val="right"/>
        <w:rPr>
          <w:sz w:val="24"/>
          <w:szCs w:val="24"/>
        </w:rPr>
      </w:pPr>
    </w:p>
    <w:p w:rsidR="00B5065B" w:rsidRPr="00B64026" w:rsidRDefault="00B5065B" w:rsidP="00B5065B">
      <w:pPr>
        <w:jc w:val="center"/>
        <w:rPr>
          <w:b/>
          <w:i/>
          <w:color w:val="493D87"/>
          <w:sz w:val="36"/>
          <w:szCs w:val="36"/>
        </w:rPr>
      </w:pPr>
      <w:r w:rsidRPr="00B64026">
        <w:rPr>
          <w:b/>
          <w:i/>
          <w:color w:val="493D87"/>
          <w:sz w:val="36"/>
          <w:szCs w:val="36"/>
        </w:rPr>
        <w:t>New Team Members</w:t>
      </w:r>
    </w:p>
    <w:p w:rsidR="00B5065B" w:rsidRDefault="00B5065B" w:rsidP="00065A3D">
      <w:pPr>
        <w:rPr>
          <w:sz w:val="24"/>
          <w:szCs w:val="24"/>
        </w:rPr>
      </w:pPr>
      <w:r>
        <w:rPr>
          <w:noProof/>
        </w:rPr>
        <w:drawing>
          <wp:anchor distT="0" distB="0" distL="114300" distR="114300" simplePos="0" relativeHeight="251753472" behindDoc="0" locked="0" layoutInCell="1" allowOverlap="1" wp14:anchorId="7B85B0C9" wp14:editId="52DC05EE">
            <wp:simplePos x="0" y="0"/>
            <wp:positionH relativeFrom="column">
              <wp:posOffset>1270</wp:posOffset>
            </wp:positionH>
            <wp:positionV relativeFrom="paragraph">
              <wp:posOffset>635</wp:posOffset>
            </wp:positionV>
            <wp:extent cx="1129030" cy="1605915"/>
            <wp:effectExtent l="0" t="0" r="0" b="0"/>
            <wp:wrapSquare wrapText="bothSides"/>
            <wp:docPr id="32" name="Picture 32" descr="http://hblcpa.com/images/staff/portrait/Marianne_E._DeV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blcpa.com/images/staff/portrait/Marianne_E._DeVri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030"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65B">
        <w:t xml:space="preserve"> </w:t>
      </w:r>
      <w:r w:rsidRPr="00B5065B">
        <w:rPr>
          <w:sz w:val="24"/>
          <w:szCs w:val="24"/>
        </w:rPr>
        <w:t>Mari</w:t>
      </w:r>
      <w:r>
        <w:rPr>
          <w:sz w:val="24"/>
          <w:szCs w:val="24"/>
        </w:rPr>
        <w:t>anne DeVries, CPA, is a partner and shareholder of the newly merged firm. Mari</w:t>
      </w:r>
      <w:r w:rsidRPr="00B5065B">
        <w:rPr>
          <w:sz w:val="24"/>
          <w:szCs w:val="24"/>
        </w:rPr>
        <w:t xml:space="preserve"> has been in public accounting for over 20 years. Her experience in public practice includes a significant number of audits, reviews and compilations for nonprofit entities, financial institutions, service and retail companies as well as litigation support services and tax returns. In 2003, she was appointed to the American Institute of Certified Public Accountants’ NPO Expert Panel/Task Force to revise the Audit Guide for nonprofit organizations. In July 2004, Governor Napolitano appointed Mari to the Arizona State Board of Accountancy (ASBA) serving as President from 2007-2008. ASBA is responsible for licensing and regulating CPAs in Arizona. After having served seven years on the Board’s Accounting and Auditing Standards Committee and three years as an Investigative Reviewer for the Board; Mari is regularly asked to speak both locally and nationally on a variety of topics affecting nonprofit organizations. She joined the AICPA’s Board of Examiners Content Committee and Audit Sub-committee in 2008 and in 2011 was appointed as Chair of the Content Committee and member of the Executive Committee of the Board of Examiners.</w:t>
      </w:r>
    </w:p>
    <w:p w:rsidR="001721E8" w:rsidRDefault="00614645" w:rsidP="001721E8">
      <w:pPr>
        <w:pStyle w:val="NoSpacing"/>
      </w:pPr>
      <w:r>
        <w:rPr>
          <w:noProof/>
          <w:color w:val="0000FF"/>
        </w:rPr>
        <w:drawing>
          <wp:anchor distT="0" distB="0" distL="114300" distR="114300" simplePos="0" relativeHeight="251761664" behindDoc="0" locked="0" layoutInCell="1" allowOverlap="1" wp14:anchorId="770BE046" wp14:editId="1DA7D2EC">
            <wp:simplePos x="0" y="0"/>
            <wp:positionH relativeFrom="column">
              <wp:posOffset>1130300</wp:posOffset>
            </wp:positionH>
            <wp:positionV relativeFrom="paragraph">
              <wp:posOffset>56284</wp:posOffset>
            </wp:positionV>
            <wp:extent cx="748030" cy="748030"/>
            <wp:effectExtent l="0" t="0" r="0" b="0"/>
            <wp:wrapNone/>
            <wp:docPr id="9" name="irc_mi" descr="http://clipart.heavtryq.com/flowerclipart/f84.purple.w.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heavtryq.com/flowerclipart/f84.purple.w.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mc:AlternateContent>
          <mc:Choice Requires="wps">
            <w:drawing>
              <wp:anchor distT="0" distB="0" distL="114300" distR="114300" simplePos="0" relativeHeight="251760640" behindDoc="1" locked="0" layoutInCell="1" allowOverlap="1" wp14:anchorId="0E52AC34" wp14:editId="14A4F367">
                <wp:simplePos x="0" y="0"/>
                <wp:positionH relativeFrom="column">
                  <wp:posOffset>437804</wp:posOffset>
                </wp:positionH>
                <wp:positionV relativeFrom="paragraph">
                  <wp:posOffset>21879</wp:posOffset>
                </wp:positionV>
                <wp:extent cx="5337406" cy="831272"/>
                <wp:effectExtent l="0" t="0" r="15875" b="26035"/>
                <wp:wrapNone/>
                <wp:docPr id="7" name="Pentagon 7"/>
                <wp:cNvGraphicFramePr/>
                <a:graphic xmlns:a="http://schemas.openxmlformats.org/drawingml/2006/main">
                  <a:graphicData uri="http://schemas.microsoft.com/office/word/2010/wordprocessingShape">
                    <wps:wsp>
                      <wps:cNvSpPr/>
                      <wps:spPr>
                        <a:xfrm>
                          <a:off x="0" y="0"/>
                          <a:ext cx="5337406" cy="831272"/>
                        </a:xfrm>
                        <a:prstGeom prst="homePlate">
                          <a:avLst/>
                        </a:prstGeom>
                        <a:gradFill>
                          <a:gsLst>
                            <a:gs pos="0">
                              <a:srgbClr val="CCCCFF"/>
                            </a:gs>
                            <a:gs pos="17999">
                              <a:srgbClr val="99CCFF"/>
                            </a:gs>
                            <a:gs pos="36000">
                              <a:srgbClr val="9966FF"/>
                            </a:gs>
                            <a:gs pos="61000">
                              <a:srgbClr val="CC99FF"/>
                            </a:gs>
                            <a:gs pos="82001">
                              <a:srgbClr val="99CCFF"/>
                            </a:gs>
                            <a:gs pos="100000">
                              <a:srgbClr val="CCCCFF"/>
                            </a:gs>
                          </a:gsLst>
                          <a:lin ang="5400000" scaled="0"/>
                        </a:gra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34.45pt;margin-top:1.7pt;width:420.25pt;height:65.45pt;z-index:-25155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" adj="19918" fillcolor="#ccf" strokecolor="#3f3151 [1607]" strokeweight="2pt">
                <v:fill color2="#ccf" colors="0 #ccf;11796f #9cf;23593f #96f;39977f #c9f;53740f #9cf;1 #ccf" focus="100%" type="gradient">
                  <o:fill v:ext="view" type="gradientUnscaled"/>
                </v:fill>
              </v:shape>
            </w:pict>
          </mc:Fallback>
        </mc:AlternateContent>
      </w:r>
    </w:p>
    <w:p w:rsidR="001721E8" w:rsidRPr="00BA6DA0" w:rsidRDefault="001721E8" w:rsidP="001721E8">
      <w:pPr>
        <w:pStyle w:val="NoSpacing"/>
        <w:jc w:val="center"/>
        <w:rPr>
          <w:b/>
          <w:sz w:val="32"/>
          <w:szCs w:val="32"/>
        </w:rPr>
      </w:pPr>
      <w:r w:rsidRPr="00BA6DA0">
        <w:rPr>
          <w:b/>
          <w:sz w:val="32"/>
          <w:szCs w:val="32"/>
        </w:rPr>
        <w:t>HBL CPAs Summer Hours</w:t>
      </w:r>
    </w:p>
    <w:p w:rsidR="001721E8" w:rsidRPr="00614645" w:rsidRDefault="001721E8" w:rsidP="001721E8">
      <w:pPr>
        <w:pStyle w:val="NoSpacing"/>
        <w:jc w:val="center"/>
        <w:rPr>
          <w:b/>
        </w:rPr>
      </w:pPr>
      <w:r w:rsidRPr="00614645">
        <w:rPr>
          <w:b/>
        </w:rPr>
        <w:t>Monday – Thursday 8:00 am to 5:00 pm</w:t>
      </w:r>
    </w:p>
    <w:p w:rsidR="001721E8" w:rsidRPr="00614645" w:rsidRDefault="001721E8" w:rsidP="001721E8">
      <w:pPr>
        <w:pStyle w:val="NoSpacing"/>
        <w:jc w:val="center"/>
        <w:rPr>
          <w:b/>
        </w:rPr>
      </w:pPr>
      <w:r w:rsidRPr="00614645">
        <w:rPr>
          <w:b/>
        </w:rPr>
        <w:t>Friday 8:00 am to 2:00 pm</w:t>
      </w:r>
    </w:p>
    <w:p w:rsidR="00B5065B" w:rsidRPr="00B5065B" w:rsidRDefault="00800F4F" w:rsidP="00B64026">
      <w:pPr>
        <w:jc w:val="left"/>
        <w:rPr>
          <w:b/>
          <w:i/>
          <w:color w:val="5F497A" w:themeColor="accent4" w:themeShade="BF"/>
          <w:sz w:val="36"/>
          <w:szCs w:val="36"/>
        </w:rPr>
      </w:pPr>
      <w:bookmarkStart w:id="0" w:name="_GoBack"/>
      <w:r>
        <w:rPr>
          <w:noProof/>
          <w:color w:val="0000FF"/>
        </w:rPr>
        <w:lastRenderedPageBreak/>
        <w:drawing>
          <wp:anchor distT="0" distB="0" distL="114300" distR="114300" simplePos="0" relativeHeight="251762688" behindDoc="0" locked="0" layoutInCell="1" allowOverlap="1">
            <wp:simplePos x="0" y="0"/>
            <wp:positionH relativeFrom="column">
              <wp:posOffset>-635</wp:posOffset>
            </wp:positionH>
            <wp:positionV relativeFrom="paragraph">
              <wp:posOffset>-1270</wp:posOffset>
            </wp:positionV>
            <wp:extent cx="1198245" cy="1071880"/>
            <wp:effectExtent l="0" t="0" r="1905" b="0"/>
            <wp:wrapSquare wrapText="bothSides"/>
            <wp:docPr id="3" name="Picture 3" descr="People team up technology solution gea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team up technology solution gea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8245" cy="1071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5065B" w:rsidRPr="00B64026">
        <w:rPr>
          <w:b/>
          <w:i/>
          <w:color w:val="493D87"/>
          <w:sz w:val="36"/>
          <w:szCs w:val="36"/>
        </w:rPr>
        <w:t>New Team Members (continued)</w:t>
      </w:r>
    </w:p>
    <w:p w:rsidR="00065A3D" w:rsidRDefault="00B64026" w:rsidP="00065A3D">
      <w:pPr>
        <w:rPr>
          <w:sz w:val="24"/>
          <w:szCs w:val="24"/>
        </w:rPr>
      </w:pPr>
      <w:r w:rsidRPr="00B5065B">
        <w:rPr>
          <w:noProof/>
          <w:sz w:val="24"/>
          <w:szCs w:val="24"/>
        </w:rPr>
        <w:drawing>
          <wp:anchor distT="0" distB="0" distL="114300" distR="114300" simplePos="0" relativeHeight="251754496" behindDoc="0" locked="0" layoutInCell="1" allowOverlap="1" wp14:anchorId="1FD4A0E5" wp14:editId="3B2D38D3">
            <wp:simplePos x="0" y="0"/>
            <wp:positionH relativeFrom="column">
              <wp:posOffset>4001770</wp:posOffset>
            </wp:positionH>
            <wp:positionV relativeFrom="paragraph">
              <wp:posOffset>43815</wp:posOffset>
            </wp:positionV>
            <wp:extent cx="1172845" cy="1758950"/>
            <wp:effectExtent l="0" t="0" r="8255" b="0"/>
            <wp:wrapSquare wrapText="bothSides"/>
            <wp:docPr id="33" name="Picture 33" descr="http://hblcpa.com/images/staff/portrait/Michael_J._DeV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blcpa.com/images/staff/portrait/Michael_J._DeVri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2845"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65B">
        <w:rPr>
          <w:sz w:val="24"/>
          <w:szCs w:val="24"/>
        </w:rPr>
        <w:t>Michael J. DeVries, CPA,</w:t>
      </w:r>
      <w:r w:rsidR="00B5065B" w:rsidRPr="00B5065B">
        <w:rPr>
          <w:sz w:val="24"/>
          <w:szCs w:val="24"/>
        </w:rPr>
        <w:t xml:space="preserve"> has over 30 years of experience in taxes and accounting. Mike</w:t>
      </w:r>
      <w:r w:rsidR="00B5065B">
        <w:rPr>
          <w:sz w:val="24"/>
          <w:szCs w:val="24"/>
        </w:rPr>
        <w:t xml:space="preserve"> is a tax manager with the newl</w:t>
      </w:r>
      <w:r w:rsidR="00502226">
        <w:rPr>
          <w:sz w:val="24"/>
          <w:szCs w:val="24"/>
        </w:rPr>
        <w:t>y</w:t>
      </w:r>
      <w:r w:rsidR="00B5065B">
        <w:rPr>
          <w:sz w:val="24"/>
          <w:szCs w:val="24"/>
        </w:rPr>
        <w:t xml:space="preserve"> merged firm. He</w:t>
      </w:r>
      <w:r w:rsidR="00B5065B" w:rsidRPr="00B5065B">
        <w:rPr>
          <w:sz w:val="24"/>
          <w:szCs w:val="24"/>
        </w:rPr>
        <w:t xml:space="preserve"> began his degree at Northern Arizona University and after moving to Texas he graduated from Midwestern State University in Wichita Falls. After spending 25 years working with a CPA firm in a number of small offices in Texas, Mike moved back to Tucson to join his sister Mari at DeVries CPAs in 2007. Mike is a member of the Rotary Club of Tucson and serves as an advisory board member for The Salvation Army in Tucson.</w:t>
      </w:r>
    </w:p>
    <w:p w:rsidR="00B64026" w:rsidRPr="00B5065B" w:rsidRDefault="00B64026" w:rsidP="00065A3D">
      <w:pPr>
        <w:rPr>
          <w:sz w:val="24"/>
          <w:szCs w:val="24"/>
        </w:rPr>
      </w:pPr>
      <w:r>
        <w:rPr>
          <w:noProof/>
          <w:sz w:val="24"/>
          <w:szCs w:val="24"/>
        </w:rPr>
        <mc:AlternateContent>
          <mc:Choice Requires="wps">
            <w:drawing>
              <wp:anchor distT="0" distB="0" distL="114300" distR="114300" simplePos="0" relativeHeight="251758592" behindDoc="0" locked="0" layoutInCell="1" allowOverlap="1" wp14:anchorId="2A17EAF5" wp14:editId="729D80C8">
                <wp:simplePos x="0" y="0"/>
                <wp:positionH relativeFrom="column">
                  <wp:posOffset>1552575</wp:posOffset>
                </wp:positionH>
                <wp:positionV relativeFrom="paragraph">
                  <wp:posOffset>68580</wp:posOffset>
                </wp:positionV>
                <wp:extent cx="3408045" cy="0"/>
                <wp:effectExtent l="19050" t="19050" r="20955" b="19050"/>
                <wp:wrapNone/>
                <wp:docPr id="38" name="Straight Connector 38"/>
                <wp:cNvGraphicFramePr/>
                <a:graphic xmlns:a="http://schemas.openxmlformats.org/drawingml/2006/main">
                  <a:graphicData uri="http://schemas.microsoft.com/office/word/2010/wordprocessingShape">
                    <wps:wsp>
                      <wps:cNvCnPr/>
                      <wps:spPr>
                        <a:xfrm>
                          <a:off x="0" y="0"/>
                          <a:ext cx="3408045" cy="0"/>
                        </a:xfrm>
                        <a:prstGeom prst="line">
                          <a:avLst/>
                        </a:prstGeom>
                        <a:ln w="38100" cap="rnd" cmpd="dbl">
                          <a:solidFill>
                            <a:srgbClr val="493D87"/>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22.25pt,5.4pt" to="39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" strokecolor="#493d87" strokeweight="3pt">
                <v:stroke dashstyle="1 1" linestyle="thinThin" endcap="round"/>
              </v:line>
            </w:pict>
          </mc:Fallback>
        </mc:AlternateContent>
      </w:r>
    </w:p>
    <w:p w:rsidR="00065A3D" w:rsidRPr="00B5065B" w:rsidRDefault="00B5065B" w:rsidP="00065A3D">
      <w:pPr>
        <w:rPr>
          <w:sz w:val="24"/>
          <w:szCs w:val="24"/>
        </w:rPr>
      </w:pPr>
      <w:r w:rsidRPr="00B5065B">
        <w:rPr>
          <w:sz w:val="24"/>
          <w:szCs w:val="24"/>
        </w:rPr>
        <w:t>Lisa</w:t>
      </w:r>
      <w:r>
        <w:rPr>
          <w:sz w:val="24"/>
          <w:szCs w:val="24"/>
        </w:rPr>
        <w:t xml:space="preserve"> Gunther began</w:t>
      </w:r>
      <w:r w:rsidRPr="00B5065B">
        <w:rPr>
          <w:sz w:val="24"/>
          <w:szCs w:val="24"/>
        </w:rPr>
        <w:t xml:space="preserve"> working wi</w:t>
      </w:r>
      <w:r>
        <w:rPr>
          <w:sz w:val="24"/>
          <w:szCs w:val="24"/>
        </w:rPr>
        <w:t>th DeVries CPAs of Arizona in</w:t>
      </w:r>
      <w:r w:rsidRPr="00B5065B">
        <w:rPr>
          <w:sz w:val="24"/>
          <w:szCs w:val="24"/>
        </w:rPr>
        <w:t xml:space="preserve"> 1999. She provides accounting services for clients, and is a QuickBooks ProAdvisor with a special emphasis in nonprofit accounting. She is skilled at providing clients with technological solutions for their accounting needs, including consulting on software and developing strategies for an efficient accounting system. She studied at the University of Arizona and the College of William and Mary in Virginia, where she earned a </w:t>
      </w:r>
      <w:r w:rsidR="00502226" w:rsidRPr="00B5065B">
        <w:rPr>
          <w:sz w:val="24"/>
          <w:szCs w:val="24"/>
        </w:rPr>
        <w:t>master’s</w:t>
      </w:r>
      <w:r w:rsidRPr="00B5065B">
        <w:rPr>
          <w:sz w:val="24"/>
          <w:szCs w:val="24"/>
        </w:rPr>
        <w:t xml:space="preserve"> degree in education. </w:t>
      </w:r>
      <w:r w:rsidRPr="00B5065B">
        <w:rPr>
          <w:noProof/>
          <w:sz w:val="24"/>
          <w:szCs w:val="24"/>
        </w:rPr>
        <w:drawing>
          <wp:anchor distT="0" distB="0" distL="114300" distR="114300" simplePos="0" relativeHeight="251755520" behindDoc="0" locked="0" layoutInCell="1" allowOverlap="1" wp14:anchorId="2DFD99E5" wp14:editId="7505BB75">
            <wp:simplePos x="0" y="0"/>
            <wp:positionH relativeFrom="column">
              <wp:posOffset>1270</wp:posOffset>
            </wp:positionH>
            <wp:positionV relativeFrom="paragraph">
              <wp:posOffset>2540</wp:posOffset>
            </wp:positionV>
            <wp:extent cx="1160145" cy="1676400"/>
            <wp:effectExtent l="0" t="0" r="1905" b="0"/>
            <wp:wrapSquare wrapText="bothSides"/>
            <wp:docPr id="34" name="Picture 34" descr="http://hblcpa.com/images/staff/portrait/Lisa_Gu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blcpa.com/images/staff/portrait/Lisa_Gunth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014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C29" w:rsidRDefault="006D7C29" w:rsidP="009A4C66">
      <w:pPr>
        <w:spacing w:after="0"/>
      </w:pPr>
    </w:p>
    <w:p w:rsidR="00B64026" w:rsidRDefault="00B64026" w:rsidP="009A4C66">
      <w:pPr>
        <w:spacing w:after="0"/>
      </w:pPr>
      <w:r>
        <w:rPr>
          <w:noProof/>
        </w:rPr>
        <mc:AlternateContent>
          <mc:Choice Requires="wps">
            <w:drawing>
              <wp:anchor distT="0" distB="0" distL="114300" distR="114300" simplePos="0" relativeHeight="251728896" behindDoc="0" locked="0" layoutInCell="1" allowOverlap="1" wp14:anchorId="34862ECB" wp14:editId="1ABDE110">
                <wp:simplePos x="0" y="0"/>
                <wp:positionH relativeFrom="column">
                  <wp:posOffset>-282633</wp:posOffset>
                </wp:positionH>
                <wp:positionV relativeFrom="paragraph">
                  <wp:posOffset>1443</wp:posOffset>
                </wp:positionV>
                <wp:extent cx="6788728" cy="4204335"/>
                <wp:effectExtent l="19050" t="19050" r="12700" b="2476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28" cy="4204335"/>
                        </a:xfrm>
                        <a:prstGeom prst="rect">
                          <a:avLst/>
                        </a:prstGeom>
                        <a:noFill/>
                        <a:ln w="38100">
                          <a:solidFill>
                            <a:srgbClr val="493D87"/>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B5065B" w:rsidRPr="00502226" w:rsidRDefault="00B5065B" w:rsidP="00B5065B">
                            <w:pPr>
                              <w:pStyle w:val="NoSpacing"/>
                              <w:jc w:val="center"/>
                              <w:rPr>
                                <w:b/>
                                <w:i/>
                                <w:color w:val="493D87"/>
                                <w:sz w:val="32"/>
                                <w:szCs w:val="32"/>
                              </w:rPr>
                            </w:pPr>
                            <w:r w:rsidRPr="00502226">
                              <w:rPr>
                                <w:b/>
                                <w:i/>
                                <w:color w:val="493D87"/>
                                <w:sz w:val="32"/>
                                <w:szCs w:val="32"/>
                              </w:rPr>
                              <w:t xml:space="preserve">City of Tucson </w:t>
                            </w:r>
                          </w:p>
                          <w:p w:rsidR="00B5065B" w:rsidRPr="00502226" w:rsidRDefault="00B5065B" w:rsidP="00B5065B">
                            <w:pPr>
                              <w:pStyle w:val="NoSpacing"/>
                              <w:jc w:val="center"/>
                              <w:rPr>
                                <w:b/>
                                <w:i/>
                                <w:color w:val="493D87"/>
                                <w:sz w:val="32"/>
                                <w:szCs w:val="32"/>
                              </w:rPr>
                            </w:pPr>
                            <w:r w:rsidRPr="00502226">
                              <w:rPr>
                                <w:b/>
                                <w:i/>
                                <w:color w:val="493D87"/>
                                <w:sz w:val="32"/>
                                <w:szCs w:val="32"/>
                              </w:rPr>
                              <w:t>Commercial Lease Rental Tax Change</w:t>
                            </w:r>
                          </w:p>
                          <w:p w:rsidR="00B5065B" w:rsidRPr="00B5065B" w:rsidRDefault="00B5065B" w:rsidP="00B5065B">
                            <w:pPr>
                              <w:pStyle w:val="NoSpacing"/>
                              <w:jc w:val="center"/>
                              <w:rPr>
                                <w:b/>
                                <w:i/>
                                <w:color w:val="5F497A" w:themeColor="accent4" w:themeShade="BF"/>
                                <w:sz w:val="28"/>
                                <w:szCs w:val="28"/>
                              </w:rPr>
                            </w:pPr>
                          </w:p>
                          <w:p w:rsidR="00B5065B" w:rsidRPr="00B5065B" w:rsidRDefault="00B5065B" w:rsidP="00B5065B">
                            <w:pPr>
                              <w:rPr>
                                <w:sz w:val="24"/>
                                <w:szCs w:val="24"/>
                              </w:rPr>
                            </w:pPr>
                            <w:r w:rsidRPr="00B5065B">
                              <w:rPr>
                                <w:sz w:val="24"/>
                                <w:szCs w:val="24"/>
                              </w:rPr>
                              <w:t>Effective July 1, 2013, commercial lease income is exempt from transaction privilege tax for the City of Tucson if the rental is between affiliated companies, businesses, persons, or reciprocal insurers if any of the following exists:</w:t>
                            </w:r>
                          </w:p>
                          <w:p w:rsidR="00B5065B" w:rsidRPr="00B5065B" w:rsidRDefault="00B5065B" w:rsidP="00B5065B">
                            <w:pPr>
                              <w:pStyle w:val="ListParagraph"/>
                              <w:numPr>
                                <w:ilvl w:val="0"/>
                                <w:numId w:val="31"/>
                              </w:numPr>
                              <w:ind w:left="360"/>
                              <w:rPr>
                                <w:sz w:val="24"/>
                                <w:szCs w:val="24"/>
                              </w:rPr>
                            </w:pPr>
                            <w:r w:rsidRPr="00B5065B">
                              <w:rPr>
                                <w:sz w:val="24"/>
                                <w:szCs w:val="24"/>
                              </w:rPr>
                              <w:t xml:space="preserve">If the lessor holds a controlling interest in the lessee </w:t>
                            </w:r>
                          </w:p>
                          <w:p w:rsidR="00B5065B" w:rsidRPr="00B5065B" w:rsidRDefault="00B5065B" w:rsidP="00B5065B">
                            <w:pPr>
                              <w:pStyle w:val="ListParagraph"/>
                              <w:numPr>
                                <w:ilvl w:val="0"/>
                                <w:numId w:val="31"/>
                              </w:numPr>
                              <w:ind w:left="360"/>
                              <w:rPr>
                                <w:sz w:val="24"/>
                                <w:szCs w:val="24"/>
                              </w:rPr>
                            </w:pPr>
                            <w:r w:rsidRPr="00B5065B">
                              <w:rPr>
                                <w:sz w:val="24"/>
                                <w:szCs w:val="24"/>
                              </w:rPr>
                              <w:t xml:space="preserve">If the lessee holds a controlling interest in the lessor </w:t>
                            </w:r>
                          </w:p>
                          <w:p w:rsidR="00B5065B" w:rsidRPr="00B5065B" w:rsidRDefault="00B5065B" w:rsidP="00B5065B">
                            <w:pPr>
                              <w:pStyle w:val="ListParagraph"/>
                              <w:numPr>
                                <w:ilvl w:val="0"/>
                                <w:numId w:val="31"/>
                              </w:numPr>
                              <w:ind w:left="360"/>
                              <w:rPr>
                                <w:sz w:val="24"/>
                                <w:szCs w:val="24"/>
                              </w:rPr>
                            </w:pPr>
                            <w:r w:rsidRPr="00B5065B">
                              <w:rPr>
                                <w:sz w:val="24"/>
                                <w:szCs w:val="24"/>
                              </w:rPr>
                              <w:t xml:space="preserve">If an affiliated entity holds controlling interest in both the lessee and lessor </w:t>
                            </w:r>
                          </w:p>
                          <w:p w:rsidR="00B5065B" w:rsidRPr="00B5065B" w:rsidRDefault="00B5065B" w:rsidP="00B5065B">
                            <w:pPr>
                              <w:pStyle w:val="ListParagraph"/>
                              <w:numPr>
                                <w:ilvl w:val="0"/>
                                <w:numId w:val="31"/>
                              </w:numPr>
                              <w:ind w:left="360"/>
                              <w:rPr>
                                <w:sz w:val="24"/>
                                <w:szCs w:val="24"/>
                              </w:rPr>
                            </w:pPr>
                            <w:r w:rsidRPr="00B5065B">
                              <w:rPr>
                                <w:sz w:val="24"/>
                                <w:szCs w:val="24"/>
                              </w:rPr>
                              <w:t>If an unrelated person holds controlling interest in both</w:t>
                            </w:r>
                          </w:p>
                          <w:p w:rsidR="00B5065B" w:rsidRPr="00B5065B" w:rsidRDefault="00B5065B" w:rsidP="00B5065B">
                            <w:pPr>
                              <w:rPr>
                                <w:sz w:val="24"/>
                                <w:szCs w:val="24"/>
                              </w:rPr>
                            </w:pPr>
                            <w:r w:rsidRPr="00B5065B">
                              <w:rPr>
                                <w:sz w:val="24"/>
                                <w:szCs w:val="24"/>
                              </w:rPr>
                              <w:t>Controlling interest means an at least 80% ownership of voting shares of a corporation or of the interest in an entity other than a corporation. If the commercial property has multiple tenants, only the rental income for the affiliated tenant is exempt.</w:t>
                            </w:r>
                          </w:p>
                          <w:p w:rsidR="00B5065B" w:rsidRPr="00B5065B" w:rsidRDefault="00B5065B" w:rsidP="00B5065B">
                            <w:pPr>
                              <w:rPr>
                                <w:sz w:val="24"/>
                                <w:szCs w:val="24"/>
                              </w:rPr>
                            </w:pPr>
                            <w:r w:rsidRPr="00B5065B">
                              <w:rPr>
                                <w:sz w:val="24"/>
                                <w:szCs w:val="24"/>
                              </w:rPr>
                              <w:t xml:space="preserve">This is only for the City of Tucson and does not apply to Pima County.  A sales tax report will still need to be filed with The City of Tucson to report the commercial lease income even if it is exempt. If you meet one of the requirements above, you will report the rental income on pae 1 and report the amount of rental income that is exempt from sales tax on page 2 under the exemption “Other”. </w:t>
                            </w:r>
                          </w:p>
                          <w:p w:rsidR="00B5065B" w:rsidRPr="00B5065B" w:rsidRDefault="00B5065B" w:rsidP="00B5065B">
                            <w:pPr>
                              <w:rPr>
                                <w:sz w:val="24"/>
                                <w:szCs w:val="24"/>
                              </w:rPr>
                            </w:pPr>
                          </w:p>
                          <w:p w:rsidR="009546B8" w:rsidRDefault="00954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left:0;text-align:left;margin-left:-22.25pt;margin-top:.1pt;width:534.55pt;height:33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" filled="f" strokecolor="#493d87" strokeweight="3pt">
                <v:stroke dashstyle="longDash"/>
                <v:textbox>
                  <w:txbxContent>
                    <w:p w:rsidR="00B5065B" w:rsidRPr="00502226" w:rsidRDefault="00B5065B" w:rsidP="00B5065B">
                      <w:pPr>
                        <w:pStyle w:val="NoSpacing"/>
                        <w:jc w:val="center"/>
                        <w:rPr>
                          <w:b/>
                          <w:i/>
                          <w:color w:val="493D87"/>
                          <w:sz w:val="32"/>
                          <w:szCs w:val="32"/>
                        </w:rPr>
                      </w:pPr>
                      <w:r w:rsidRPr="00502226">
                        <w:rPr>
                          <w:b/>
                          <w:i/>
                          <w:color w:val="493D87"/>
                          <w:sz w:val="32"/>
                          <w:szCs w:val="32"/>
                        </w:rPr>
                        <w:t xml:space="preserve">City of Tucson </w:t>
                      </w:r>
                    </w:p>
                    <w:p w:rsidR="00B5065B" w:rsidRPr="00502226" w:rsidRDefault="00B5065B" w:rsidP="00B5065B">
                      <w:pPr>
                        <w:pStyle w:val="NoSpacing"/>
                        <w:jc w:val="center"/>
                        <w:rPr>
                          <w:b/>
                          <w:i/>
                          <w:color w:val="493D87"/>
                          <w:sz w:val="32"/>
                          <w:szCs w:val="32"/>
                        </w:rPr>
                      </w:pPr>
                      <w:r w:rsidRPr="00502226">
                        <w:rPr>
                          <w:b/>
                          <w:i/>
                          <w:color w:val="493D87"/>
                          <w:sz w:val="32"/>
                          <w:szCs w:val="32"/>
                        </w:rPr>
                        <w:t>Commercial Lease Rental Tax Change</w:t>
                      </w:r>
                    </w:p>
                    <w:p w:rsidR="00B5065B" w:rsidRPr="00B5065B" w:rsidRDefault="00B5065B" w:rsidP="00B5065B">
                      <w:pPr>
                        <w:pStyle w:val="NoSpacing"/>
                        <w:jc w:val="center"/>
                        <w:rPr>
                          <w:b/>
                          <w:i/>
                          <w:color w:val="5F497A" w:themeColor="accent4" w:themeShade="BF"/>
                          <w:sz w:val="28"/>
                          <w:szCs w:val="28"/>
                        </w:rPr>
                      </w:pPr>
                    </w:p>
                    <w:p w:rsidR="00B5065B" w:rsidRPr="00B5065B" w:rsidRDefault="00B5065B" w:rsidP="00B5065B">
                      <w:pPr>
                        <w:rPr>
                          <w:sz w:val="24"/>
                          <w:szCs w:val="24"/>
                        </w:rPr>
                      </w:pPr>
                      <w:r w:rsidRPr="00B5065B">
                        <w:rPr>
                          <w:sz w:val="24"/>
                          <w:szCs w:val="24"/>
                        </w:rPr>
                        <w:t>Effective July 1, 2013, commercial lease income is exempt from transaction privilege tax for the City of Tucson if the rental is between affiliated companies, businesses, persons, or reciprocal insurers if any of the following exists:</w:t>
                      </w:r>
                    </w:p>
                    <w:p w:rsidR="00B5065B" w:rsidRPr="00B5065B" w:rsidRDefault="00B5065B" w:rsidP="00B5065B">
                      <w:pPr>
                        <w:pStyle w:val="ListParagraph"/>
                        <w:numPr>
                          <w:ilvl w:val="0"/>
                          <w:numId w:val="31"/>
                        </w:numPr>
                        <w:ind w:left="360"/>
                        <w:rPr>
                          <w:sz w:val="24"/>
                          <w:szCs w:val="24"/>
                        </w:rPr>
                      </w:pPr>
                      <w:r w:rsidRPr="00B5065B">
                        <w:rPr>
                          <w:sz w:val="24"/>
                          <w:szCs w:val="24"/>
                        </w:rPr>
                        <w:t xml:space="preserve">If the lessor holds a controlling interest in the lessee </w:t>
                      </w:r>
                    </w:p>
                    <w:p w:rsidR="00B5065B" w:rsidRPr="00B5065B" w:rsidRDefault="00B5065B" w:rsidP="00B5065B">
                      <w:pPr>
                        <w:pStyle w:val="ListParagraph"/>
                        <w:numPr>
                          <w:ilvl w:val="0"/>
                          <w:numId w:val="31"/>
                        </w:numPr>
                        <w:ind w:left="360"/>
                        <w:rPr>
                          <w:sz w:val="24"/>
                          <w:szCs w:val="24"/>
                        </w:rPr>
                      </w:pPr>
                      <w:r w:rsidRPr="00B5065B">
                        <w:rPr>
                          <w:sz w:val="24"/>
                          <w:szCs w:val="24"/>
                        </w:rPr>
                        <w:t xml:space="preserve">If the lessee holds a controlling interest in the lessor </w:t>
                      </w:r>
                    </w:p>
                    <w:p w:rsidR="00B5065B" w:rsidRPr="00B5065B" w:rsidRDefault="00B5065B" w:rsidP="00B5065B">
                      <w:pPr>
                        <w:pStyle w:val="ListParagraph"/>
                        <w:numPr>
                          <w:ilvl w:val="0"/>
                          <w:numId w:val="31"/>
                        </w:numPr>
                        <w:ind w:left="360"/>
                        <w:rPr>
                          <w:sz w:val="24"/>
                          <w:szCs w:val="24"/>
                        </w:rPr>
                      </w:pPr>
                      <w:r w:rsidRPr="00B5065B">
                        <w:rPr>
                          <w:sz w:val="24"/>
                          <w:szCs w:val="24"/>
                        </w:rPr>
                        <w:t xml:space="preserve">If an affiliated entity holds controlling interest in both the lessee and lessor </w:t>
                      </w:r>
                    </w:p>
                    <w:p w:rsidR="00B5065B" w:rsidRPr="00B5065B" w:rsidRDefault="00B5065B" w:rsidP="00B5065B">
                      <w:pPr>
                        <w:pStyle w:val="ListParagraph"/>
                        <w:numPr>
                          <w:ilvl w:val="0"/>
                          <w:numId w:val="31"/>
                        </w:numPr>
                        <w:ind w:left="360"/>
                        <w:rPr>
                          <w:sz w:val="24"/>
                          <w:szCs w:val="24"/>
                        </w:rPr>
                      </w:pPr>
                      <w:r w:rsidRPr="00B5065B">
                        <w:rPr>
                          <w:sz w:val="24"/>
                          <w:szCs w:val="24"/>
                        </w:rPr>
                        <w:t>If an unrelated person holds controlling interest in both</w:t>
                      </w:r>
                    </w:p>
                    <w:p w:rsidR="00B5065B" w:rsidRPr="00B5065B" w:rsidRDefault="00B5065B" w:rsidP="00B5065B">
                      <w:pPr>
                        <w:rPr>
                          <w:sz w:val="24"/>
                          <w:szCs w:val="24"/>
                        </w:rPr>
                      </w:pPr>
                      <w:r w:rsidRPr="00B5065B">
                        <w:rPr>
                          <w:sz w:val="24"/>
                          <w:szCs w:val="24"/>
                        </w:rPr>
                        <w:t>Controlling interest means an at least 80% ownership of voting shares of a corporation or of the interest in an entity other than a corporation. If the commercial property has multiple tenants, only the rental income for the affiliated tenant is exempt.</w:t>
                      </w:r>
                    </w:p>
                    <w:p w:rsidR="00B5065B" w:rsidRPr="00B5065B" w:rsidRDefault="00B5065B" w:rsidP="00B5065B">
                      <w:pPr>
                        <w:rPr>
                          <w:sz w:val="24"/>
                          <w:szCs w:val="24"/>
                        </w:rPr>
                      </w:pPr>
                      <w:r w:rsidRPr="00B5065B">
                        <w:rPr>
                          <w:sz w:val="24"/>
                          <w:szCs w:val="24"/>
                        </w:rPr>
                        <w:t xml:space="preserve">This is only for the City of Tucson and does not apply to Pima County.  A sales tax report will still need to be filed with The City of Tucson to report the commercial lease income even if it is exempt. If you meet one of the requirements above, you will report the rental income on </w:t>
                      </w:r>
                      <w:proofErr w:type="spellStart"/>
                      <w:r w:rsidRPr="00B5065B">
                        <w:rPr>
                          <w:sz w:val="24"/>
                          <w:szCs w:val="24"/>
                        </w:rPr>
                        <w:t>pae</w:t>
                      </w:r>
                      <w:proofErr w:type="spellEnd"/>
                      <w:r w:rsidRPr="00B5065B">
                        <w:rPr>
                          <w:sz w:val="24"/>
                          <w:szCs w:val="24"/>
                        </w:rPr>
                        <w:t xml:space="preserve"> 1 and report the amount of rental income that is exempt from sales tax on page 2 under the exemption “Other”. </w:t>
                      </w:r>
                    </w:p>
                    <w:p w:rsidR="00B5065B" w:rsidRPr="00B5065B" w:rsidRDefault="00B5065B" w:rsidP="00B5065B">
                      <w:pPr>
                        <w:rPr>
                          <w:sz w:val="24"/>
                          <w:szCs w:val="24"/>
                        </w:rPr>
                      </w:pPr>
                    </w:p>
                    <w:p w:rsidR="009546B8" w:rsidRDefault="009546B8"/>
                  </w:txbxContent>
                </v:textbox>
              </v:shape>
            </w:pict>
          </mc:Fallback>
        </mc:AlternateContent>
      </w: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p w:rsidR="00B64026" w:rsidRDefault="00B64026" w:rsidP="009A4C66">
      <w:pPr>
        <w:spacing w:after="0"/>
      </w:pPr>
    </w:p>
    <w:sectPr w:rsidR="00B64026" w:rsidSect="00463839">
      <w:type w:val="continuous"/>
      <w:pgSz w:w="12240" w:h="15840" w:code="1"/>
      <w:pgMar w:top="1080" w:right="1296" w:bottom="720" w:left="1296" w:header="720" w:footer="720" w:gutter="0"/>
      <w:pgBorders w:offsetFrom="page">
        <w:top w:val="single" w:sz="48" w:space="24" w:color="594183"/>
        <w:left w:val="single" w:sz="48" w:space="24" w:color="594183"/>
        <w:bottom w:val="single" w:sz="48" w:space="24" w:color="594183"/>
        <w:right w:val="single" w:sz="48" w:space="24" w:color="59418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9E" w:rsidRDefault="00815A9E" w:rsidP="00E67549">
      <w:pPr>
        <w:spacing w:after="0" w:line="240" w:lineRule="auto"/>
      </w:pPr>
      <w:r>
        <w:separator/>
      </w:r>
    </w:p>
  </w:endnote>
  <w:endnote w:type="continuationSeparator" w:id="0">
    <w:p w:rsidR="00815A9E" w:rsidRDefault="00815A9E" w:rsidP="00E6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9E" w:rsidRDefault="00815A9E" w:rsidP="00E67549">
      <w:pPr>
        <w:spacing w:after="0" w:line="240" w:lineRule="auto"/>
      </w:pPr>
      <w:r>
        <w:separator/>
      </w:r>
    </w:p>
  </w:footnote>
  <w:footnote w:type="continuationSeparator" w:id="0">
    <w:p w:rsidR="00815A9E" w:rsidRDefault="00815A9E" w:rsidP="00E67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4.95pt;height:674.95pt;visibility:visible;mso-wrap-style:square" o:bullet="t">
        <v:imagedata r:id="rId1" o:title="MC910217033[1]"/>
      </v:shape>
    </w:pict>
  </w:numPicBullet>
  <w:abstractNum w:abstractNumId="0">
    <w:nsid w:val="07C40AB2"/>
    <w:multiLevelType w:val="hybridMultilevel"/>
    <w:tmpl w:val="4A78553C"/>
    <w:lvl w:ilvl="0" w:tplc="2E3C3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CD7B65"/>
    <w:multiLevelType w:val="hybridMultilevel"/>
    <w:tmpl w:val="CF3E3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D145B"/>
    <w:multiLevelType w:val="hybridMultilevel"/>
    <w:tmpl w:val="279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84889"/>
    <w:multiLevelType w:val="hybridMultilevel"/>
    <w:tmpl w:val="059A4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4381D"/>
    <w:multiLevelType w:val="hybridMultilevel"/>
    <w:tmpl w:val="EF7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F19A5"/>
    <w:multiLevelType w:val="hybridMultilevel"/>
    <w:tmpl w:val="274E5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678AC"/>
    <w:multiLevelType w:val="hybridMultilevel"/>
    <w:tmpl w:val="69D0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F25E0"/>
    <w:multiLevelType w:val="hybridMultilevel"/>
    <w:tmpl w:val="6890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75180"/>
    <w:multiLevelType w:val="hybridMultilevel"/>
    <w:tmpl w:val="36607B16"/>
    <w:lvl w:ilvl="0" w:tplc="A30C7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247810"/>
    <w:multiLevelType w:val="hybridMultilevel"/>
    <w:tmpl w:val="9474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3371BA"/>
    <w:multiLevelType w:val="hybridMultilevel"/>
    <w:tmpl w:val="9474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8219E"/>
    <w:multiLevelType w:val="hybridMultilevel"/>
    <w:tmpl w:val="A6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C44B8"/>
    <w:multiLevelType w:val="hybridMultilevel"/>
    <w:tmpl w:val="F5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0642F"/>
    <w:multiLevelType w:val="multilevel"/>
    <w:tmpl w:val="B6FC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44636"/>
    <w:multiLevelType w:val="hybridMultilevel"/>
    <w:tmpl w:val="AF8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C26C3"/>
    <w:multiLevelType w:val="hybridMultilevel"/>
    <w:tmpl w:val="7FE4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50727"/>
    <w:multiLevelType w:val="hybridMultilevel"/>
    <w:tmpl w:val="0976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B11F7A"/>
    <w:multiLevelType w:val="hybridMultilevel"/>
    <w:tmpl w:val="943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35DD1"/>
    <w:multiLevelType w:val="hybridMultilevel"/>
    <w:tmpl w:val="BA4EB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00622"/>
    <w:multiLevelType w:val="multilevel"/>
    <w:tmpl w:val="F28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2A5E8C"/>
    <w:multiLevelType w:val="hybridMultilevel"/>
    <w:tmpl w:val="CD16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486B29"/>
    <w:multiLevelType w:val="hybridMultilevel"/>
    <w:tmpl w:val="8D207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8680B"/>
    <w:multiLevelType w:val="hybridMultilevel"/>
    <w:tmpl w:val="FE5C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17CDB"/>
    <w:multiLevelType w:val="hybridMultilevel"/>
    <w:tmpl w:val="07A0E49E"/>
    <w:lvl w:ilvl="0" w:tplc="242AB0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73F60B2"/>
    <w:multiLevelType w:val="hybridMultilevel"/>
    <w:tmpl w:val="9002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A4750"/>
    <w:multiLevelType w:val="hybridMultilevel"/>
    <w:tmpl w:val="1A0E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E4A4F"/>
    <w:multiLevelType w:val="hybridMultilevel"/>
    <w:tmpl w:val="B5DE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6536A"/>
    <w:multiLevelType w:val="hybridMultilevel"/>
    <w:tmpl w:val="7AD2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E03F7"/>
    <w:multiLevelType w:val="hybridMultilevel"/>
    <w:tmpl w:val="A7167D22"/>
    <w:lvl w:ilvl="0" w:tplc="070CD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AD151F"/>
    <w:multiLevelType w:val="hybridMultilevel"/>
    <w:tmpl w:val="0706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95091E"/>
    <w:multiLevelType w:val="hybridMultilevel"/>
    <w:tmpl w:val="F70E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6"/>
  </w:num>
  <w:num w:numId="5">
    <w:abstractNumId w:val="24"/>
  </w:num>
  <w:num w:numId="6">
    <w:abstractNumId w:val="29"/>
  </w:num>
  <w:num w:numId="7">
    <w:abstractNumId w:val="2"/>
  </w:num>
  <w:num w:numId="8">
    <w:abstractNumId w:val="22"/>
  </w:num>
  <w:num w:numId="9">
    <w:abstractNumId w:val="17"/>
  </w:num>
  <w:num w:numId="10">
    <w:abstractNumId w:val="11"/>
  </w:num>
  <w:num w:numId="11">
    <w:abstractNumId w:val="18"/>
  </w:num>
  <w:num w:numId="12">
    <w:abstractNumId w:val="3"/>
  </w:num>
  <w:num w:numId="13">
    <w:abstractNumId w:val="21"/>
  </w:num>
  <w:num w:numId="14">
    <w:abstractNumId w:val="16"/>
  </w:num>
  <w:num w:numId="15">
    <w:abstractNumId w:val="26"/>
  </w:num>
  <w:num w:numId="16">
    <w:abstractNumId w:val="14"/>
  </w:num>
  <w:num w:numId="17">
    <w:abstractNumId w:val="1"/>
  </w:num>
  <w:num w:numId="18">
    <w:abstractNumId w:val="28"/>
  </w:num>
  <w:num w:numId="19">
    <w:abstractNumId w:val="10"/>
  </w:num>
  <w:num w:numId="20">
    <w:abstractNumId w:val="27"/>
  </w:num>
  <w:num w:numId="21">
    <w:abstractNumId w:val="12"/>
  </w:num>
  <w:num w:numId="22">
    <w:abstractNumId w:val="13"/>
  </w:num>
  <w:num w:numId="23">
    <w:abstractNumId w:val="19"/>
  </w:num>
  <w:num w:numId="24">
    <w:abstractNumId w:val="4"/>
  </w:num>
  <w:num w:numId="25">
    <w:abstractNumId w:val="9"/>
  </w:num>
  <w:num w:numId="26">
    <w:abstractNumId w:val="20"/>
  </w:num>
  <w:num w:numId="27">
    <w:abstractNumId w:val="15"/>
  </w:num>
  <w:num w:numId="28">
    <w:abstractNumId w:val="30"/>
  </w:num>
  <w:num w:numId="29">
    <w:abstractNumId w:val="5"/>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7"/>
    <w:rsid w:val="00003E24"/>
    <w:rsid w:val="00005050"/>
    <w:rsid w:val="00010291"/>
    <w:rsid w:val="0001498F"/>
    <w:rsid w:val="000158E9"/>
    <w:rsid w:val="00015D30"/>
    <w:rsid w:val="0002274A"/>
    <w:rsid w:val="000241D8"/>
    <w:rsid w:val="00025306"/>
    <w:rsid w:val="000320FB"/>
    <w:rsid w:val="00042D99"/>
    <w:rsid w:val="00043FC0"/>
    <w:rsid w:val="00047AC4"/>
    <w:rsid w:val="00056BCB"/>
    <w:rsid w:val="000652F6"/>
    <w:rsid w:val="00065A3D"/>
    <w:rsid w:val="00070409"/>
    <w:rsid w:val="00071A06"/>
    <w:rsid w:val="00071A3D"/>
    <w:rsid w:val="00071CA5"/>
    <w:rsid w:val="00073522"/>
    <w:rsid w:val="00074E72"/>
    <w:rsid w:val="00075CA5"/>
    <w:rsid w:val="00076EF8"/>
    <w:rsid w:val="00083547"/>
    <w:rsid w:val="000868D1"/>
    <w:rsid w:val="00087937"/>
    <w:rsid w:val="00091D20"/>
    <w:rsid w:val="00092881"/>
    <w:rsid w:val="00092CB0"/>
    <w:rsid w:val="0009340D"/>
    <w:rsid w:val="00095B74"/>
    <w:rsid w:val="00095ED6"/>
    <w:rsid w:val="000A29AD"/>
    <w:rsid w:val="000A7725"/>
    <w:rsid w:val="000B7F95"/>
    <w:rsid w:val="000C62AC"/>
    <w:rsid w:val="000D03F3"/>
    <w:rsid w:val="000D10F8"/>
    <w:rsid w:val="000D3B13"/>
    <w:rsid w:val="000D4334"/>
    <w:rsid w:val="000E1596"/>
    <w:rsid w:val="000E3DBC"/>
    <w:rsid w:val="000F256F"/>
    <w:rsid w:val="000F4E20"/>
    <w:rsid w:val="000F692A"/>
    <w:rsid w:val="00103865"/>
    <w:rsid w:val="001079DC"/>
    <w:rsid w:val="00110DE5"/>
    <w:rsid w:val="00124B8A"/>
    <w:rsid w:val="00125897"/>
    <w:rsid w:val="0013103D"/>
    <w:rsid w:val="001319DC"/>
    <w:rsid w:val="00133510"/>
    <w:rsid w:val="00137218"/>
    <w:rsid w:val="00140D70"/>
    <w:rsid w:val="00146D19"/>
    <w:rsid w:val="00150DE7"/>
    <w:rsid w:val="001556E1"/>
    <w:rsid w:val="001572E9"/>
    <w:rsid w:val="001641EE"/>
    <w:rsid w:val="001656EB"/>
    <w:rsid w:val="001721E8"/>
    <w:rsid w:val="00174CF8"/>
    <w:rsid w:val="001758DC"/>
    <w:rsid w:val="001905E3"/>
    <w:rsid w:val="00192983"/>
    <w:rsid w:val="00193F0C"/>
    <w:rsid w:val="0019590F"/>
    <w:rsid w:val="001A0FF6"/>
    <w:rsid w:val="001A44A8"/>
    <w:rsid w:val="001B158A"/>
    <w:rsid w:val="001B4247"/>
    <w:rsid w:val="001B7682"/>
    <w:rsid w:val="001C5539"/>
    <w:rsid w:val="001C684E"/>
    <w:rsid w:val="001D15E5"/>
    <w:rsid w:val="001D2552"/>
    <w:rsid w:val="001D36FD"/>
    <w:rsid w:val="001D6573"/>
    <w:rsid w:val="001E1720"/>
    <w:rsid w:val="001E2F66"/>
    <w:rsid w:val="001F3C11"/>
    <w:rsid w:val="001F5DF9"/>
    <w:rsid w:val="001F6A7C"/>
    <w:rsid w:val="001F71AE"/>
    <w:rsid w:val="00202A92"/>
    <w:rsid w:val="002039D8"/>
    <w:rsid w:val="002051AE"/>
    <w:rsid w:val="00205C3A"/>
    <w:rsid w:val="00213B8F"/>
    <w:rsid w:val="002149BD"/>
    <w:rsid w:val="00220A02"/>
    <w:rsid w:val="00221BF0"/>
    <w:rsid w:val="00223B97"/>
    <w:rsid w:val="002323CA"/>
    <w:rsid w:val="002365A4"/>
    <w:rsid w:val="00236C88"/>
    <w:rsid w:val="00243AD9"/>
    <w:rsid w:val="00243C19"/>
    <w:rsid w:val="00247FEE"/>
    <w:rsid w:val="002575BC"/>
    <w:rsid w:val="00263096"/>
    <w:rsid w:val="002723E3"/>
    <w:rsid w:val="00273871"/>
    <w:rsid w:val="00274DF0"/>
    <w:rsid w:val="00284A22"/>
    <w:rsid w:val="00290851"/>
    <w:rsid w:val="00295C1A"/>
    <w:rsid w:val="002A1288"/>
    <w:rsid w:val="002A3751"/>
    <w:rsid w:val="002A7ABB"/>
    <w:rsid w:val="002B4828"/>
    <w:rsid w:val="002B654B"/>
    <w:rsid w:val="002C214E"/>
    <w:rsid w:val="002C28B7"/>
    <w:rsid w:val="002C5951"/>
    <w:rsid w:val="002C6BB5"/>
    <w:rsid w:val="002D0EC4"/>
    <w:rsid w:val="002D3D9F"/>
    <w:rsid w:val="002D454F"/>
    <w:rsid w:val="002E4648"/>
    <w:rsid w:val="002E4C36"/>
    <w:rsid w:val="002E6DCA"/>
    <w:rsid w:val="002E7F09"/>
    <w:rsid w:val="002F3E30"/>
    <w:rsid w:val="00301D58"/>
    <w:rsid w:val="00306FE4"/>
    <w:rsid w:val="0031114A"/>
    <w:rsid w:val="003125B2"/>
    <w:rsid w:val="00314DE5"/>
    <w:rsid w:val="00315ECC"/>
    <w:rsid w:val="00322054"/>
    <w:rsid w:val="003252EE"/>
    <w:rsid w:val="00326A19"/>
    <w:rsid w:val="00327EE1"/>
    <w:rsid w:val="0033546F"/>
    <w:rsid w:val="003379A5"/>
    <w:rsid w:val="00340D04"/>
    <w:rsid w:val="00343B15"/>
    <w:rsid w:val="00346BB8"/>
    <w:rsid w:val="003512E5"/>
    <w:rsid w:val="0035271F"/>
    <w:rsid w:val="003546C1"/>
    <w:rsid w:val="003548DD"/>
    <w:rsid w:val="00361218"/>
    <w:rsid w:val="00361434"/>
    <w:rsid w:val="00366E09"/>
    <w:rsid w:val="00371BE4"/>
    <w:rsid w:val="00383A0A"/>
    <w:rsid w:val="00384B43"/>
    <w:rsid w:val="00392F93"/>
    <w:rsid w:val="00396875"/>
    <w:rsid w:val="003A12F3"/>
    <w:rsid w:val="003A394D"/>
    <w:rsid w:val="003A3B57"/>
    <w:rsid w:val="003B240F"/>
    <w:rsid w:val="003B6557"/>
    <w:rsid w:val="003D0329"/>
    <w:rsid w:val="003D2017"/>
    <w:rsid w:val="003D2B77"/>
    <w:rsid w:val="003E0062"/>
    <w:rsid w:val="003E05E9"/>
    <w:rsid w:val="003E5556"/>
    <w:rsid w:val="003F24B3"/>
    <w:rsid w:val="003F43B9"/>
    <w:rsid w:val="003F679E"/>
    <w:rsid w:val="003F6A8E"/>
    <w:rsid w:val="003F707D"/>
    <w:rsid w:val="00401101"/>
    <w:rsid w:val="00426211"/>
    <w:rsid w:val="004318D8"/>
    <w:rsid w:val="00432548"/>
    <w:rsid w:val="0043580A"/>
    <w:rsid w:val="004438A2"/>
    <w:rsid w:val="0044678B"/>
    <w:rsid w:val="00447439"/>
    <w:rsid w:val="00451BF6"/>
    <w:rsid w:val="00453F13"/>
    <w:rsid w:val="004563DE"/>
    <w:rsid w:val="00461348"/>
    <w:rsid w:val="00461F94"/>
    <w:rsid w:val="00463839"/>
    <w:rsid w:val="00473B94"/>
    <w:rsid w:val="004751CB"/>
    <w:rsid w:val="004801D4"/>
    <w:rsid w:val="00480423"/>
    <w:rsid w:val="00480A70"/>
    <w:rsid w:val="0048115D"/>
    <w:rsid w:val="00483CFD"/>
    <w:rsid w:val="004846DC"/>
    <w:rsid w:val="00484806"/>
    <w:rsid w:val="004912D6"/>
    <w:rsid w:val="0049473A"/>
    <w:rsid w:val="004B03AC"/>
    <w:rsid w:val="004B588D"/>
    <w:rsid w:val="004D6545"/>
    <w:rsid w:val="004E0377"/>
    <w:rsid w:val="004E57CB"/>
    <w:rsid w:val="004E6375"/>
    <w:rsid w:val="004F53E0"/>
    <w:rsid w:val="004F5487"/>
    <w:rsid w:val="004F6240"/>
    <w:rsid w:val="00500E14"/>
    <w:rsid w:val="00502226"/>
    <w:rsid w:val="005057E8"/>
    <w:rsid w:val="0051050E"/>
    <w:rsid w:val="0051427A"/>
    <w:rsid w:val="005261B6"/>
    <w:rsid w:val="00534233"/>
    <w:rsid w:val="005367CC"/>
    <w:rsid w:val="00537563"/>
    <w:rsid w:val="00542B74"/>
    <w:rsid w:val="00543C32"/>
    <w:rsid w:val="00545134"/>
    <w:rsid w:val="00545223"/>
    <w:rsid w:val="00545EDE"/>
    <w:rsid w:val="00551B7D"/>
    <w:rsid w:val="00554A76"/>
    <w:rsid w:val="00571CF9"/>
    <w:rsid w:val="00574BF3"/>
    <w:rsid w:val="0058636D"/>
    <w:rsid w:val="005920F4"/>
    <w:rsid w:val="005A0E91"/>
    <w:rsid w:val="005B754B"/>
    <w:rsid w:val="005D1A96"/>
    <w:rsid w:val="005D2BA3"/>
    <w:rsid w:val="005D30DD"/>
    <w:rsid w:val="005D70D4"/>
    <w:rsid w:val="005E025B"/>
    <w:rsid w:val="005E4802"/>
    <w:rsid w:val="005E4841"/>
    <w:rsid w:val="005F4B66"/>
    <w:rsid w:val="00611204"/>
    <w:rsid w:val="006130A4"/>
    <w:rsid w:val="00614645"/>
    <w:rsid w:val="00615CE0"/>
    <w:rsid w:val="006161CA"/>
    <w:rsid w:val="006219DE"/>
    <w:rsid w:val="00625921"/>
    <w:rsid w:val="00630EEB"/>
    <w:rsid w:val="00631368"/>
    <w:rsid w:val="00631CE9"/>
    <w:rsid w:val="006343DE"/>
    <w:rsid w:val="00637353"/>
    <w:rsid w:val="006439C2"/>
    <w:rsid w:val="0065042F"/>
    <w:rsid w:val="00652960"/>
    <w:rsid w:val="0065420E"/>
    <w:rsid w:val="00655AB4"/>
    <w:rsid w:val="006573BB"/>
    <w:rsid w:val="00667708"/>
    <w:rsid w:val="006721CD"/>
    <w:rsid w:val="006746DB"/>
    <w:rsid w:val="006749D0"/>
    <w:rsid w:val="00677034"/>
    <w:rsid w:val="0068207E"/>
    <w:rsid w:val="006827C5"/>
    <w:rsid w:val="00685246"/>
    <w:rsid w:val="006911F2"/>
    <w:rsid w:val="00693F4C"/>
    <w:rsid w:val="00695D36"/>
    <w:rsid w:val="00695E5D"/>
    <w:rsid w:val="006A03D6"/>
    <w:rsid w:val="006A415E"/>
    <w:rsid w:val="006A5239"/>
    <w:rsid w:val="006B35B6"/>
    <w:rsid w:val="006B7D22"/>
    <w:rsid w:val="006C483A"/>
    <w:rsid w:val="006D0314"/>
    <w:rsid w:val="006D10A7"/>
    <w:rsid w:val="006D3129"/>
    <w:rsid w:val="006D5BF0"/>
    <w:rsid w:val="006D7079"/>
    <w:rsid w:val="006D7C29"/>
    <w:rsid w:val="006E6FA6"/>
    <w:rsid w:val="006F41CC"/>
    <w:rsid w:val="00700F21"/>
    <w:rsid w:val="0070205E"/>
    <w:rsid w:val="0070444F"/>
    <w:rsid w:val="00711E9E"/>
    <w:rsid w:val="007167C2"/>
    <w:rsid w:val="007173C0"/>
    <w:rsid w:val="00720C8B"/>
    <w:rsid w:val="00721B31"/>
    <w:rsid w:val="00731EC7"/>
    <w:rsid w:val="0073361F"/>
    <w:rsid w:val="00733B56"/>
    <w:rsid w:val="00733BC5"/>
    <w:rsid w:val="00736378"/>
    <w:rsid w:val="00736A34"/>
    <w:rsid w:val="0073719B"/>
    <w:rsid w:val="00743309"/>
    <w:rsid w:val="00750C06"/>
    <w:rsid w:val="007528BE"/>
    <w:rsid w:val="007533D1"/>
    <w:rsid w:val="00753B8D"/>
    <w:rsid w:val="00753BC9"/>
    <w:rsid w:val="00761090"/>
    <w:rsid w:val="00762984"/>
    <w:rsid w:val="00765092"/>
    <w:rsid w:val="00766F6A"/>
    <w:rsid w:val="00775DD6"/>
    <w:rsid w:val="007801A9"/>
    <w:rsid w:val="0078694F"/>
    <w:rsid w:val="00790B0A"/>
    <w:rsid w:val="00791AC2"/>
    <w:rsid w:val="00794983"/>
    <w:rsid w:val="00796DFB"/>
    <w:rsid w:val="007A06B7"/>
    <w:rsid w:val="007A0FD5"/>
    <w:rsid w:val="007A516E"/>
    <w:rsid w:val="007B1CF3"/>
    <w:rsid w:val="007B2418"/>
    <w:rsid w:val="007B309E"/>
    <w:rsid w:val="007C3AEA"/>
    <w:rsid w:val="007C7325"/>
    <w:rsid w:val="007C7C8D"/>
    <w:rsid w:val="007D463C"/>
    <w:rsid w:val="007D50EB"/>
    <w:rsid w:val="007E2540"/>
    <w:rsid w:val="007E2631"/>
    <w:rsid w:val="007E2F76"/>
    <w:rsid w:val="007E3330"/>
    <w:rsid w:val="007E59A8"/>
    <w:rsid w:val="007F0929"/>
    <w:rsid w:val="007F28D2"/>
    <w:rsid w:val="00800F4F"/>
    <w:rsid w:val="008104BE"/>
    <w:rsid w:val="00814372"/>
    <w:rsid w:val="00815A9E"/>
    <w:rsid w:val="008319B2"/>
    <w:rsid w:val="00841182"/>
    <w:rsid w:val="0085036D"/>
    <w:rsid w:val="008520C5"/>
    <w:rsid w:val="008536FE"/>
    <w:rsid w:val="00856C1A"/>
    <w:rsid w:val="0085704C"/>
    <w:rsid w:val="008574D4"/>
    <w:rsid w:val="00860EDF"/>
    <w:rsid w:val="00861DBE"/>
    <w:rsid w:val="0086390A"/>
    <w:rsid w:val="00864B66"/>
    <w:rsid w:val="00873F42"/>
    <w:rsid w:val="0087575B"/>
    <w:rsid w:val="00882C10"/>
    <w:rsid w:val="00883D85"/>
    <w:rsid w:val="00884B82"/>
    <w:rsid w:val="0089067A"/>
    <w:rsid w:val="008955C7"/>
    <w:rsid w:val="008969D8"/>
    <w:rsid w:val="008A0CC1"/>
    <w:rsid w:val="008A27E4"/>
    <w:rsid w:val="008A4AAF"/>
    <w:rsid w:val="008B24CE"/>
    <w:rsid w:val="008B5ACA"/>
    <w:rsid w:val="008C16FF"/>
    <w:rsid w:val="008C7BD7"/>
    <w:rsid w:val="008D4DD0"/>
    <w:rsid w:val="008D65CA"/>
    <w:rsid w:val="008E0F16"/>
    <w:rsid w:val="008E58DD"/>
    <w:rsid w:val="008E62A0"/>
    <w:rsid w:val="008E6BD1"/>
    <w:rsid w:val="00912F4E"/>
    <w:rsid w:val="00915319"/>
    <w:rsid w:val="00927AA5"/>
    <w:rsid w:val="009330C9"/>
    <w:rsid w:val="009339CE"/>
    <w:rsid w:val="00940D0E"/>
    <w:rsid w:val="00944F97"/>
    <w:rsid w:val="00945728"/>
    <w:rsid w:val="00951DC8"/>
    <w:rsid w:val="00953981"/>
    <w:rsid w:val="009546B8"/>
    <w:rsid w:val="00955E47"/>
    <w:rsid w:val="00957BB3"/>
    <w:rsid w:val="00963C91"/>
    <w:rsid w:val="00966F88"/>
    <w:rsid w:val="00967C1D"/>
    <w:rsid w:val="00976D8C"/>
    <w:rsid w:val="0098396E"/>
    <w:rsid w:val="00990CD9"/>
    <w:rsid w:val="00993D32"/>
    <w:rsid w:val="00996BBF"/>
    <w:rsid w:val="009A041C"/>
    <w:rsid w:val="009A3876"/>
    <w:rsid w:val="009A4C66"/>
    <w:rsid w:val="009A62AC"/>
    <w:rsid w:val="009A73A6"/>
    <w:rsid w:val="009B4690"/>
    <w:rsid w:val="009D799D"/>
    <w:rsid w:val="009E1B84"/>
    <w:rsid w:val="009E25A6"/>
    <w:rsid w:val="009E2843"/>
    <w:rsid w:val="009E526B"/>
    <w:rsid w:val="009E6156"/>
    <w:rsid w:val="009E7484"/>
    <w:rsid w:val="009F04E2"/>
    <w:rsid w:val="009F580B"/>
    <w:rsid w:val="00A11592"/>
    <w:rsid w:val="00A1381D"/>
    <w:rsid w:val="00A15490"/>
    <w:rsid w:val="00A15FDD"/>
    <w:rsid w:val="00A2008F"/>
    <w:rsid w:val="00A21CDA"/>
    <w:rsid w:val="00A2276D"/>
    <w:rsid w:val="00A249B1"/>
    <w:rsid w:val="00A269F2"/>
    <w:rsid w:val="00A27BA2"/>
    <w:rsid w:val="00A40388"/>
    <w:rsid w:val="00A417CD"/>
    <w:rsid w:val="00A54703"/>
    <w:rsid w:val="00A70530"/>
    <w:rsid w:val="00A7132C"/>
    <w:rsid w:val="00A73AE7"/>
    <w:rsid w:val="00A74BE0"/>
    <w:rsid w:val="00A83CAF"/>
    <w:rsid w:val="00A859D2"/>
    <w:rsid w:val="00A91BE0"/>
    <w:rsid w:val="00A97782"/>
    <w:rsid w:val="00AA18E4"/>
    <w:rsid w:val="00AA3822"/>
    <w:rsid w:val="00AA3A70"/>
    <w:rsid w:val="00AA45E7"/>
    <w:rsid w:val="00AA5429"/>
    <w:rsid w:val="00AA5CB2"/>
    <w:rsid w:val="00AA66D8"/>
    <w:rsid w:val="00AB048C"/>
    <w:rsid w:val="00AB0F1B"/>
    <w:rsid w:val="00AC4353"/>
    <w:rsid w:val="00AC5C62"/>
    <w:rsid w:val="00AC7050"/>
    <w:rsid w:val="00AD1480"/>
    <w:rsid w:val="00AD2287"/>
    <w:rsid w:val="00AE0B66"/>
    <w:rsid w:val="00AE4518"/>
    <w:rsid w:val="00AE716E"/>
    <w:rsid w:val="00AF034E"/>
    <w:rsid w:val="00AF3F5E"/>
    <w:rsid w:val="00AF44BB"/>
    <w:rsid w:val="00AF510F"/>
    <w:rsid w:val="00B025A6"/>
    <w:rsid w:val="00B1012D"/>
    <w:rsid w:val="00B116F4"/>
    <w:rsid w:val="00B1171D"/>
    <w:rsid w:val="00B216F8"/>
    <w:rsid w:val="00B2274E"/>
    <w:rsid w:val="00B234DC"/>
    <w:rsid w:val="00B25B3D"/>
    <w:rsid w:val="00B270F2"/>
    <w:rsid w:val="00B306D9"/>
    <w:rsid w:val="00B33D6B"/>
    <w:rsid w:val="00B3543F"/>
    <w:rsid w:val="00B37CE0"/>
    <w:rsid w:val="00B4337E"/>
    <w:rsid w:val="00B4727B"/>
    <w:rsid w:val="00B5065B"/>
    <w:rsid w:val="00B50F96"/>
    <w:rsid w:val="00B51043"/>
    <w:rsid w:val="00B51F78"/>
    <w:rsid w:val="00B55898"/>
    <w:rsid w:val="00B558BA"/>
    <w:rsid w:val="00B64026"/>
    <w:rsid w:val="00B77652"/>
    <w:rsid w:val="00B836C2"/>
    <w:rsid w:val="00BA2399"/>
    <w:rsid w:val="00BA6DA0"/>
    <w:rsid w:val="00BA7DAF"/>
    <w:rsid w:val="00BB0687"/>
    <w:rsid w:val="00BB1581"/>
    <w:rsid w:val="00BC0587"/>
    <w:rsid w:val="00BD29ED"/>
    <w:rsid w:val="00BD578B"/>
    <w:rsid w:val="00BD61A2"/>
    <w:rsid w:val="00BD768C"/>
    <w:rsid w:val="00BD7D8D"/>
    <w:rsid w:val="00BE0093"/>
    <w:rsid w:val="00BE0341"/>
    <w:rsid w:val="00BE2244"/>
    <w:rsid w:val="00BE4CE9"/>
    <w:rsid w:val="00BE52EA"/>
    <w:rsid w:val="00BE7BB2"/>
    <w:rsid w:val="00BF531A"/>
    <w:rsid w:val="00BF5769"/>
    <w:rsid w:val="00BF5CE7"/>
    <w:rsid w:val="00BF7490"/>
    <w:rsid w:val="00BF7E83"/>
    <w:rsid w:val="00C0194F"/>
    <w:rsid w:val="00C06241"/>
    <w:rsid w:val="00C2236D"/>
    <w:rsid w:val="00C25D5D"/>
    <w:rsid w:val="00C264D1"/>
    <w:rsid w:val="00C26BF4"/>
    <w:rsid w:val="00C30268"/>
    <w:rsid w:val="00C35A83"/>
    <w:rsid w:val="00C366E6"/>
    <w:rsid w:val="00C37454"/>
    <w:rsid w:val="00C4013E"/>
    <w:rsid w:val="00C46049"/>
    <w:rsid w:val="00C53291"/>
    <w:rsid w:val="00C548F2"/>
    <w:rsid w:val="00C56DBE"/>
    <w:rsid w:val="00C61184"/>
    <w:rsid w:val="00C63A33"/>
    <w:rsid w:val="00C63AEF"/>
    <w:rsid w:val="00C63E65"/>
    <w:rsid w:val="00C64D69"/>
    <w:rsid w:val="00C65384"/>
    <w:rsid w:val="00C65513"/>
    <w:rsid w:val="00C70255"/>
    <w:rsid w:val="00C71261"/>
    <w:rsid w:val="00C7335C"/>
    <w:rsid w:val="00C7588C"/>
    <w:rsid w:val="00C777BD"/>
    <w:rsid w:val="00C87394"/>
    <w:rsid w:val="00C87B8D"/>
    <w:rsid w:val="00C9103A"/>
    <w:rsid w:val="00C928AA"/>
    <w:rsid w:val="00C9487D"/>
    <w:rsid w:val="00C94B94"/>
    <w:rsid w:val="00CA0832"/>
    <w:rsid w:val="00CA3AFA"/>
    <w:rsid w:val="00CA50EE"/>
    <w:rsid w:val="00CA75B4"/>
    <w:rsid w:val="00CB0E0C"/>
    <w:rsid w:val="00CB2EDB"/>
    <w:rsid w:val="00CB35D8"/>
    <w:rsid w:val="00CB3AE4"/>
    <w:rsid w:val="00CC0201"/>
    <w:rsid w:val="00CD0134"/>
    <w:rsid w:val="00CD03E2"/>
    <w:rsid w:val="00CD64A2"/>
    <w:rsid w:val="00CE1112"/>
    <w:rsid w:val="00CE7A94"/>
    <w:rsid w:val="00CF5F57"/>
    <w:rsid w:val="00CF732E"/>
    <w:rsid w:val="00D02894"/>
    <w:rsid w:val="00D168E1"/>
    <w:rsid w:val="00D3054E"/>
    <w:rsid w:val="00D3354C"/>
    <w:rsid w:val="00D33D40"/>
    <w:rsid w:val="00D376F5"/>
    <w:rsid w:val="00D507A4"/>
    <w:rsid w:val="00D52D92"/>
    <w:rsid w:val="00D56578"/>
    <w:rsid w:val="00D57812"/>
    <w:rsid w:val="00D67EE4"/>
    <w:rsid w:val="00D757D2"/>
    <w:rsid w:val="00D75CAB"/>
    <w:rsid w:val="00D77192"/>
    <w:rsid w:val="00D836F9"/>
    <w:rsid w:val="00D849AC"/>
    <w:rsid w:val="00D86FFF"/>
    <w:rsid w:val="00DA0FCC"/>
    <w:rsid w:val="00DA358F"/>
    <w:rsid w:val="00DA4830"/>
    <w:rsid w:val="00DB5EDD"/>
    <w:rsid w:val="00DC334D"/>
    <w:rsid w:val="00DC513B"/>
    <w:rsid w:val="00DC6E8E"/>
    <w:rsid w:val="00DC7F39"/>
    <w:rsid w:val="00DD082E"/>
    <w:rsid w:val="00DE3F3F"/>
    <w:rsid w:val="00DF2807"/>
    <w:rsid w:val="00DF61C9"/>
    <w:rsid w:val="00E0131E"/>
    <w:rsid w:val="00E034AB"/>
    <w:rsid w:val="00E06095"/>
    <w:rsid w:val="00E066FB"/>
    <w:rsid w:val="00E125CF"/>
    <w:rsid w:val="00E14700"/>
    <w:rsid w:val="00E14E88"/>
    <w:rsid w:val="00E16A0B"/>
    <w:rsid w:val="00E27847"/>
    <w:rsid w:val="00E306BE"/>
    <w:rsid w:val="00E340E5"/>
    <w:rsid w:val="00E44DB3"/>
    <w:rsid w:val="00E450A4"/>
    <w:rsid w:val="00E452A5"/>
    <w:rsid w:val="00E45E58"/>
    <w:rsid w:val="00E46920"/>
    <w:rsid w:val="00E47071"/>
    <w:rsid w:val="00E511BD"/>
    <w:rsid w:val="00E513A6"/>
    <w:rsid w:val="00E52336"/>
    <w:rsid w:val="00E562DB"/>
    <w:rsid w:val="00E61560"/>
    <w:rsid w:val="00E66077"/>
    <w:rsid w:val="00E67549"/>
    <w:rsid w:val="00E72E25"/>
    <w:rsid w:val="00E772E6"/>
    <w:rsid w:val="00E809AA"/>
    <w:rsid w:val="00E81196"/>
    <w:rsid w:val="00E85121"/>
    <w:rsid w:val="00E95161"/>
    <w:rsid w:val="00E95A24"/>
    <w:rsid w:val="00EA5AF4"/>
    <w:rsid w:val="00EA5F48"/>
    <w:rsid w:val="00EB3133"/>
    <w:rsid w:val="00EB59FE"/>
    <w:rsid w:val="00EC060B"/>
    <w:rsid w:val="00EC210D"/>
    <w:rsid w:val="00EC3044"/>
    <w:rsid w:val="00EC724C"/>
    <w:rsid w:val="00EC7D26"/>
    <w:rsid w:val="00ED52A1"/>
    <w:rsid w:val="00EE189D"/>
    <w:rsid w:val="00EE34D2"/>
    <w:rsid w:val="00EF13FF"/>
    <w:rsid w:val="00EF6C19"/>
    <w:rsid w:val="00F01FBB"/>
    <w:rsid w:val="00F126E6"/>
    <w:rsid w:val="00F13A5B"/>
    <w:rsid w:val="00F171A9"/>
    <w:rsid w:val="00F42BC3"/>
    <w:rsid w:val="00F57766"/>
    <w:rsid w:val="00F66CDA"/>
    <w:rsid w:val="00F703D0"/>
    <w:rsid w:val="00F714F7"/>
    <w:rsid w:val="00F72F45"/>
    <w:rsid w:val="00F7357C"/>
    <w:rsid w:val="00F77E99"/>
    <w:rsid w:val="00F77F2B"/>
    <w:rsid w:val="00F90321"/>
    <w:rsid w:val="00F9035E"/>
    <w:rsid w:val="00F97601"/>
    <w:rsid w:val="00FA0F2B"/>
    <w:rsid w:val="00FA29D9"/>
    <w:rsid w:val="00FA3A46"/>
    <w:rsid w:val="00FB49B5"/>
    <w:rsid w:val="00FC09E2"/>
    <w:rsid w:val="00FD04A6"/>
    <w:rsid w:val="00FD2EC8"/>
    <w:rsid w:val="00FD303F"/>
    <w:rsid w:val="00FD40E9"/>
    <w:rsid w:val="00FD6D41"/>
    <w:rsid w:val="00FE4D70"/>
    <w:rsid w:val="00FF3766"/>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ofessional">
    <w:name w:val="Title - Professional"/>
    <w:basedOn w:val="Normal"/>
    <w:rsid w:val="004F5487"/>
    <w:pPr>
      <w:pBdr>
        <w:top w:val="single" w:sz="36" w:space="1" w:color="000080"/>
        <w:left w:val="single" w:sz="6" w:space="4" w:color="000080"/>
        <w:bottom w:val="single" w:sz="6" w:space="1" w:color="000080"/>
        <w:right w:val="single" w:sz="6" w:space="4" w:color="000080"/>
      </w:pBdr>
      <w:jc w:val="center"/>
    </w:pPr>
    <w:rPr>
      <w:rFonts w:ascii="Arial Black" w:eastAsia="Times New Roman" w:hAnsi="Arial Black"/>
      <w:color w:val="000080"/>
      <w:sz w:val="144"/>
      <w:lang w:bidi="en-US"/>
    </w:rPr>
  </w:style>
  <w:style w:type="paragraph" w:styleId="BalloonText">
    <w:name w:val="Balloon Text"/>
    <w:basedOn w:val="Normal"/>
    <w:link w:val="BalloonTextChar"/>
    <w:uiPriority w:val="99"/>
    <w:semiHidden/>
    <w:unhideWhenUsed/>
    <w:rsid w:val="004F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7"/>
    <w:rPr>
      <w:rFonts w:ascii="Tahoma" w:hAnsi="Tahoma" w:cs="Tahoma"/>
      <w:sz w:val="16"/>
      <w:szCs w:val="16"/>
    </w:rPr>
  </w:style>
  <w:style w:type="table" w:styleId="TableGrid">
    <w:name w:val="Table Grid"/>
    <w:basedOn w:val="TableNormal"/>
    <w:uiPriority w:val="59"/>
    <w:rsid w:val="004F5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63C91"/>
    <w:rPr>
      <w:color w:val="0000FF"/>
      <w:u w:val="single"/>
    </w:rPr>
  </w:style>
  <w:style w:type="character" w:styleId="FollowedHyperlink">
    <w:name w:val="FollowedHyperlink"/>
    <w:basedOn w:val="DefaultParagraphFont"/>
    <w:uiPriority w:val="99"/>
    <w:semiHidden/>
    <w:unhideWhenUsed/>
    <w:rsid w:val="00B33D6B"/>
    <w:rPr>
      <w:color w:val="800080"/>
      <w:u w:val="single"/>
    </w:rPr>
  </w:style>
  <w:style w:type="paragraph" w:styleId="DocumentMap">
    <w:name w:val="Document Map"/>
    <w:basedOn w:val="Normal"/>
    <w:link w:val="DocumentMapChar"/>
    <w:uiPriority w:val="99"/>
    <w:semiHidden/>
    <w:unhideWhenUsed/>
    <w:rsid w:val="00631C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CE9"/>
    <w:rPr>
      <w:rFonts w:ascii="Tahoma" w:hAnsi="Tahoma" w:cs="Tahoma"/>
      <w:sz w:val="16"/>
      <w:szCs w:val="16"/>
    </w:rPr>
  </w:style>
  <w:style w:type="paragraph" w:styleId="Header">
    <w:name w:val="header"/>
    <w:basedOn w:val="Normal"/>
    <w:link w:val="HeaderChar"/>
    <w:uiPriority w:val="99"/>
    <w:unhideWhenUsed/>
    <w:rsid w:val="00E6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49"/>
    <w:rPr>
      <w:sz w:val="22"/>
      <w:szCs w:val="22"/>
    </w:rPr>
  </w:style>
  <w:style w:type="paragraph" w:styleId="Footer">
    <w:name w:val="footer"/>
    <w:basedOn w:val="Normal"/>
    <w:link w:val="FooterChar"/>
    <w:uiPriority w:val="99"/>
    <w:unhideWhenUsed/>
    <w:rsid w:val="00E6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49"/>
    <w:rPr>
      <w:sz w:val="22"/>
      <w:szCs w:val="22"/>
    </w:rPr>
  </w:style>
  <w:style w:type="paragraph" w:styleId="BodyText">
    <w:name w:val="Body Text"/>
    <w:basedOn w:val="Normal"/>
    <w:link w:val="BodyTextChar"/>
    <w:semiHidden/>
    <w:rsid w:val="00884B8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84B82"/>
    <w:rPr>
      <w:rFonts w:ascii="Times New Roman" w:eastAsia="Times New Roman" w:hAnsi="Times New Roman"/>
      <w:sz w:val="24"/>
    </w:rPr>
  </w:style>
  <w:style w:type="paragraph" w:styleId="NormalWeb">
    <w:name w:val="Normal (Web)"/>
    <w:basedOn w:val="Normal"/>
    <w:uiPriority w:val="99"/>
    <w:unhideWhenUsed/>
    <w:rsid w:val="00CA75B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A75B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E7484"/>
    <w:rPr>
      <w:b/>
      <w:bCs/>
    </w:rPr>
  </w:style>
  <w:style w:type="paragraph" w:styleId="ListParagraph">
    <w:name w:val="List Paragraph"/>
    <w:basedOn w:val="Normal"/>
    <w:uiPriority w:val="34"/>
    <w:qFormat/>
    <w:rsid w:val="007B1CF3"/>
    <w:pPr>
      <w:ind w:left="720"/>
      <w:contextualSpacing/>
    </w:pPr>
  </w:style>
  <w:style w:type="paragraph" w:styleId="NoSpacing">
    <w:name w:val="No Spacing"/>
    <w:uiPriority w:val="1"/>
    <w:qFormat/>
    <w:rsid w:val="008E62A0"/>
    <w:rPr>
      <w:sz w:val="22"/>
      <w:szCs w:val="22"/>
    </w:rPr>
  </w:style>
  <w:style w:type="character" w:styleId="Emphasis">
    <w:name w:val="Emphasis"/>
    <w:basedOn w:val="DefaultParagraphFont"/>
    <w:uiPriority w:val="20"/>
    <w:qFormat/>
    <w:rsid w:val="00B116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ofessional">
    <w:name w:val="Title - Professional"/>
    <w:basedOn w:val="Normal"/>
    <w:rsid w:val="004F5487"/>
    <w:pPr>
      <w:pBdr>
        <w:top w:val="single" w:sz="36" w:space="1" w:color="000080"/>
        <w:left w:val="single" w:sz="6" w:space="4" w:color="000080"/>
        <w:bottom w:val="single" w:sz="6" w:space="1" w:color="000080"/>
        <w:right w:val="single" w:sz="6" w:space="4" w:color="000080"/>
      </w:pBdr>
      <w:jc w:val="center"/>
    </w:pPr>
    <w:rPr>
      <w:rFonts w:ascii="Arial Black" w:eastAsia="Times New Roman" w:hAnsi="Arial Black"/>
      <w:color w:val="000080"/>
      <w:sz w:val="144"/>
      <w:lang w:bidi="en-US"/>
    </w:rPr>
  </w:style>
  <w:style w:type="paragraph" w:styleId="BalloonText">
    <w:name w:val="Balloon Text"/>
    <w:basedOn w:val="Normal"/>
    <w:link w:val="BalloonTextChar"/>
    <w:uiPriority w:val="99"/>
    <w:semiHidden/>
    <w:unhideWhenUsed/>
    <w:rsid w:val="004F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7"/>
    <w:rPr>
      <w:rFonts w:ascii="Tahoma" w:hAnsi="Tahoma" w:cs="Tahoma"/>
      <w:sz w:val="16"/>
      <w:szCs w:val="16"/>
    </w:rPr>
  </w:style>
  <w:style w:type="table" w:styleId="TableGrid">
    <w:name w:val="Table Grid"/>
    <w:basedOn w:val="TableNormal"/>
    <w:uiPriority w:val="59"/>
    <w:rsid w:val="004F5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63C91"/>
    <w:rPr>
      <w:color w:val="0000FF"/>
      <w:u w:val="single"/>
    </w:rPr>
  </w:style>
  <w:style w:type="character" w:styleId="FollowedHyperlink">
    <w:name w:val="FollowedHyperlink"/>
    <w:basedOn w:val="DefaultParagraphFont"/>
    <w:uiPriority w:val="99"/>
    <w:semiHidden/>
    <w:unhideWhenUsed/>
    <w:rsid w:val="00B33D6B"/>
    <w:rPr>
      <w:color w:val="800080"/>
      <w:u w:val="single"/>
    </w:rPr>
  </w:style>
  <w:style w:type="paragraph" w:styleId="DocumentMap">
    <w:name w:val="Document Map"/>
    <w:basedOn w:val="Normal"/>
    <w:link w:val="DocumentMapChar"/>
    <w:uiPriority w:val="99"/>
    <w:semiHidden/>
    <w:unhideWhenUsed/>
    <w:rsid w:val="00631C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CE9"/>
    <w:rPr>
      <w:rFonts w:ascii="Tahoma" w:hAnsi="Tahoma" w:cs="Tahoma"/>
      <w:sz w:val="16"/>
      <w:szCs w:val="16"/>
    </w:rPr>
  </w:style>
  <w:style w:type="paragraph" w:styleId="Header">
    <w:name w:val="header"/>
    <w:basedOn w:val="Normal"/>
    <w:link w:val="HeaderChar"/>
    <w:uiPriority w:val="99"/>
    <w:unhideWhenUsed/>
    <w:rsid w:val="00E6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49"/>
    <w:rPr>
      <w:sz w:val="22"/>
      <w:szCs w:val="22"/>
    </w:rPr>
  </w:style>
  <w:style w:type="paragraph" w:styleId="Footer">
    <w:name w:val="footer"/>
    <w:basedOn w:val="Normal"/>
    <w:link w:val="FooterChar"/>
    <w:uiPriority w:val="99"/>
    <w:unhideWhenUsed/>
    <w:rsid w:val="00E6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49"/>
    <w:rPr>
      <w:sz w:val="22"/>
      <w:szCs w:val="22"/>
    </w:rPr>
  </w:style>
  <w:style w:type="paragraph" w:styleId="BodyText">
    <w:name w:val="Body Text"/>
    <w:basedOn w:val="Normal"/>
    <w:link w:val="BodyTextChar"/>
    <w:semiHidden/>
    <w:rsid w:val="00884B8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84B82"/>
    <w:rPr>
      <w:rFonts w:ascii="Times New Roman" w:eastAsia="Times New Roman" w:hAnsi="Times New Roman"/>
      <w:sz w:val="24"/>
    </w:rPr>
  </w:style>
  <w:style w:type="paragraph" w:styleId="NormalWeb">
    <w:name w:val="Normal (Web)"/>
    <w:basedOn w:val="Normal"/>
    <w:uiPriority w:val="99"/>
    <w:unhideWhenUsed/>
    <w:rsid w:val="00CA75B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A75B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E7484"/>
    <w:rPr>
      <w:b/>
      <w:bCs/>
    </w:rPr>
  </w:style>
  <w:style w:type="paragraph" w:styleId="ListParagraph">
    <w:name w:val="List Paragraph"/>
    <w:basedOn w:val="Normal"/>
    <w:uiPriority w:val="34"/>
    <w:qFormat/>
    <w:rsid w:val="007B1CF3"/>
    <w:pPr>
      <w:ind w:left="720"/>
      <w:contextualSpacing/>
    </w:pPr>
  </w:style>
  <w:style w:type="paragraph" w:styleId="NoSpacing">
    <w:name w:val="No Spacing"/>
    <w:uiPriority w:val="1"/>
    <w:qFormat/>
    <w:rsid w:val="008E62A0"/>
    <w:rPr>
      <w:sz w:val="22"/>
      <w:szCs w:val="22"/>
    </w:rPr>
  </w:style>
  <w:style w:type="character" w:styleId="Emphasis">
    <w:name w:val="Emphasis"/>
    <w:basedOn w:val="DefaultParagraphFont"/>
    <w:uiPriority w:val="20"/>
    <w:qFormat/>
    <w:rsid w:val="00B11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456">
      <w:bodyDiv w:val="1"/>
      <w:marLeft w:val="0"/>
      <w:marRight w:val="0"/>
      <w:marTop w:val="0"/>
      <w:marBottom w:val="0"/>
      <w:divBdr>
        <w:top w:val="none" w:sz="0" w:space="0" w:color="auto"/>
        <w:left w:val="none" w:sz="0" w:space="0" w:color="auto"/>
        <w:bottom w:val="none" w:sz="0" w:space="0" w:color="auto"/>
        <w:right w:val="none" w:sz="0" w:space="0" w:color="auto"/>
      </w:divBdr>
    </w:div>
    <w:div w:id="327951761">
      <w:bodyDiv w:val="1"/>
      <w:marLeft w:val="0"/>
      <w:marRight w:val="0"/>
      <w:marTop w:val="0"/>
      <w:marBottom w:val="0"/>
      <w:divBdr>
        <w:top w:val="none" w:sz="0" w:space="0" w:color="auto"/>
        <w:left w:val="none" w:sz="0" w:space="0" w:color="auto"/>
        <w:bottom w:val="none" w:sz="0" w:space="0" w:color="auto"/>
        <w:right w:val="none" w:sz="0" w:space="0" w:color="auto"/>
      </w:divBdr>
    </w:div>
    <w:div w:id="586547870">
      <w:bodyDiv w:val="1"/>
      <w:marLeft w:val="0"/>
      <w:marRight w:val="0"/>
      <w:marTop w:val="0"/>
      <w:marBottom w:val="0"/>
      <w:divBdr>
        <w:top w:val="none" w:sz="0" w:space="0" w:color="auto"/>
        <w:left w:val="none" w:sz="0" w:space="0" w:color="auto"/>
        <w:bottom w:val="none" w:sz="0" w:space="0" w:color="auto"/>
        <w:right w:val="none" w:sz="0" w:space="0" w:color="auto"/>
      </w:divBdr>
    </w:div>
    <w:div w:id="1174606251">
      <w:bodyDiv w:val="1"/>
      <w:marLeft w:val="0"/>
      <w:marRight w:val="0"/>
      <w:marTop w:val="0"/>
      <w:marBottom w:val="0"/>
      <w:divBdr>
        <w:top w:val="none" w:sz="0" w:space="0" w:color="auto"/>
        <w:left w:val="none" w:sz="0" w:space="0" w:color="auto"/>
        <w:bottom w:val="none" w:sz="0" w:space="0" w:color="auto"/>
        <w:right w:val="none" w:sz="0" w:space="0" w:color="auto"/>
      </w:divBdr>
    </w:div>
    <w:div w:id="1626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purple%20sun%20clip%20art&amp;source=images&amp;cd=&amp;cad=rja&amp;docid=VC3mAvpaWuITlM&amp;tbnid=uQm4HQ1xCoUH4M:&amp;ved=0CAUQjRw&amp;url=http://clipart.heavtryq.com/flower-clipart-viewclip-images-1168-Purple-Little-Sun-Flower-with-Black-Background&amp;ei=gPvmUaf7PKLtiwL5mICIDg&amp;bvm=bv.49478099,d.cGE&amp;psig=AFQjCNGdKJloUU-ezL3RKc8n95oWd307oQ&amp;ust=1374178544052741"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gograph.com/x-gg60454950.html" TargetMode="External"/><Relationship Id="rId10" Type="http://schemas.openxmlformats.org/officeDocument/2006/relationships/hyperlink" Target="http://www.google.com/url?sa=i&amp;rct=j&amp;q=welcome%20clip%20art&amp;source=images&amp;cd=&amp;cad=rja&amp;docid=fCfbjE-Epq5PgM&amp;tbnid=Jcx-Ge0kf-_IHM:&amp;ved=0CAUQjRw&amp;url=http://www.clker.com/clipart-135350.html&amp;ei=qfPmUeyuGuWjiAKD_ICQCQ&amp;psig=AFQjCNFTTZ7fTyda7LCujRgGnE9EDshNxg&amp;ust=137417653343626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5F19-F282-41A5-8E4D-D4B45F60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Links>
    <vt:vector size="48" baseType="variant">
      <vt:variant>
        <vt:i4>589914</vt:i4>
      </vt:variant>
      <vt:variant>
        <vt:i4>6</vt:i4>
      </vt:variant>
      <vt:variant>
        <vt:i4>0</vt:i4>
      </vt:variant>
      <vt:variant>
        <vt:i4>5</vt:i4>
      </vt:variant>
      <vt:variant>
        <vt:lpwstr>http://www.azdvs.gov/mfrf.htm</vt:lpwstr>
      </vt:variant>
      <vt:variant>
        <vt:lpwstr/>
      </vt:variant>
      <vt:variant>
        <vt:i4>5111887</vt:i4>
      </vt:variant>
      <vt:variant>
        <vt:i4>3</vt:i4>
      </vt:variant>
      <vt:variant>
        <vt:i4>0</vt:i4>
      </vt:variant>
      <vt:variant>
        <vt:i4>5</vt:i4>
      </vt:variant>
      <vt:variant>
        <vt:lpwstr>http://www.azdor.gov/TaxCredits/CharitableTaxCredit.aspx</vt:lpwstr>
      </vt:variant>
      <vt:variant>
        <vt:lpwstr/>
      </vt:variant>
      <vt:variant>
        <vt:i4>917514</vt:i4>
      </vt:variant>
      <vt:variant>
        <vt:i4>0</vt:i4>
      </vt:variant>
      <vt:variant>
        <vt:i4>0</vt:i4>
      </vt:variant>
      <vt:variant>
        <vt:i4>5</vt:i4>
      </vt:variant>
      <vt:variant>
        <vt:lpwstr>http://www.energystar.gov/index.cfm?c=tax_credits.tx_index</vt:lpwstr>
      </vt:variant>
      <vt:variant>
        <vt:lpwstr/>
      </vt:variant>
      <vt:variant>
        <vt:i4>6946877</vt:i4>
      </vt:variant>
      <vt:variant>
        <vt:i4>12</vt:i4>
      </vt:variant>
      <vt:variant>
        <vt:i4>0</vt:i4>
      </vt:variant>
      <vt:variant>
        <vt:i4>5</vt:i4>
      </vt:variant>
      <vt:variant>
        <vt:lpwstr>http://www.azcc.gov/Divisions/Corporations/</vt:lpwstr>
      </vt:variant>
      <vt:variant>
        <vt:lpwstr/>
      </vt:variant>
      <vt:variant>
        <vt:i4>1441862</vt:i4>
      </vt:variant>
      <vt:variant>
        <vt:i4>9</vt:i4>
      </vt:variant>
      <vt:variant>
        <vt:i4>0</vt:i4>
      </vt:variant>
      <vt:variant>
        <vt:i4>5</vt:i4>
      </vt:variant>
      <vt:variant>
        <vt:lpwstr>http://www.tucsonaz.gov/water/rebate</vt:lpwstr>
      </vt:variant>
      <vt:variant>
        <vt:lpwstr/>
      </vt:variant>
      <vt:variant>
        <vt:i4>589914</vt:i4>
      </vt:variant>
      <vt:variant>
        <vt:i4>6</vt:i4>
      </vt:variant>
      <vt:variant>
        <vt:i4>0</vt:i4>
      </vt:variant>
      <vt:variant>
        <vt:i4>5</vt:i4>
      </vt:variant>
      <vt:variant>
        <vt:lpwstr>http://www.azdvs.gov/mfrf.htm</vt:lpwstr>
      </vt:variant>
      <vt:variant>
        <vt:lpwstr/>
      </vt:variant>
      <vt:variant>
        <vt:i4>5111887</vt:i4>
      </vt:variant>
      <vt:variant>
        <vt:i4>3</vt:i4>
      </vt:variant>
      <vt:variant>
        <vt:i4>0</vt:i4>
      </vt:variant>
      <vt:variant>
        <vt:i4>5</vt:i4>
      </vt:variant>
      <vt:variant>
        <vt:lpwstr>http://www.azdor.gov/TaxCredits/CharitableTaxCredit.aspx</vt:lpwstr>
      </vt:variant>
      <vt:variant>
        <vt:lpwstr/>
      </vt:variant>
      <vt:variant>
        <vt:i4>917514</vt:i4>
      </vt:variant>
      <vt:variant>
        <vt:i4>0</vt:i4>
      </vt:variant>
      <vt:variant>
        <vt:i4>0</vt:i4>
      </vt:variant>
      <vt:variant>
        <vt:i4>5</vt:i4>
      </vt:variant>
      <vt:variant>
        <vt:lpwstr>http://www.energystar.gov/index.cfm?c=tax_credits.tx_index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dc:creator>
  <cp:lastModifiedBy>Lisa Gunther</cp:lastModifiedBy>
  <cp:revision>2</cp:revision>
  <cp:lastPrinted>2013-07-17T20:07:00Z</cp:lastPrinted>
  <dcterms:created xsi:type="dcterms:W3CDTF">2013-07-18T17:26:00Z</dcterms:created>
  <dcterms:modified xsi:type="dcterms:W3CDTF">2013-07-18T17:26:00Z</dcterms:modified>
</cp:coreProperties>
</file>