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94" w:rsidRPr="00B234DC" w:rsidRDefault="00B234DC" w:rsidP="00B270F2">
      <w:pPr>
        <w:pStyle w:val="Title-Professional"/>
        <w:pBdr>
          <w:top w:val="single" w:sz="6" w:space="1" w:color="000080"/>
          <w:left w:val="single" w:sz="6" w:space="15" w:color="000080"/>
          <w:bottom w:val="single" w:sz="6" w:space="3" w:color="000080"/>
          <w:right w:val="single" w:sz="6" w:space="2" w:color="000080"/>
        </w:pBdr>
        <w:tabs>
          <w:tab w:val="left" w:pos="212"/>
          <w:tab w:val="center" w:pos="4680"/>
        </w:tabs>
        <w:spacing w:after="0" w:line="240" w:lineRule="auto"/>
        <w:jc w:val="left"/>
        <w:rPr>
          <w:b/>
          <w:position w:val="30"/>
          <w:sz w:val="56"/>
          <w:szCs w:val="56"/>
          <w14:shadow w14:blurRad="50800" w14:dist="38100" w14:dir="2700000" w14:sx="100000" w14:sy="100000" w14:kx="0" w14:ky="0" w14:algn="tl">
            <w14:srgbClr w14:val="000000">
              <w14:alpha w14:val="60000"/>
            </w14:srgbClr>
          </w14:shadow>
        </w:rPr>
      </w:pPr>
      <w:r>
        <w:rPr>
          <w:b/>
          <w:i/>
          <w:noProof/>
          <w:position w:val="30"/>
          <w:sz w:val="56"/>
          <w:szCs w:val="56"/>
          <w:lang w:bidi="ar-SA"/>
        </w:rPr>
        <mc:AlternateContent>
          <mc:Choice Requires="wps">
            <w:drawing>
              <wp:anchor distT="0" distB="0" distL="114300" distR="114300" simplePos="0" relativeHeight="251689984" behindDoc="0" locked="0" layoutInCell="1" allowOverlap="1" wp14:anchorId="0D5D1288" wp14:editId="469C9E82">
                <wp:simplePos x="0" y="0"/>
                <wp:positionH relativeFrom="column">
                  <wp:posOffset>3850640</wp:posOffset>
                </wp:positionH>
                <wp:positionV relativeFrom="paragraph">
                  <wp:posOffset>10160</wp:posOffset>
                </wp:positionV>
                <wp:extent cx="1783715" cy="700405"/>
                <wp:effectExtent l="2540" t="635" r="0" b="381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B8" w:rsidRPr="00B270F2" w:rsidRDefault="0071619D" w:rsidP="00B270F2">
                            <w:r>
                              <w:rPr>
                                <w:b/>
                                <w:i/>
                                <w:color w:val="242988"/>
                                <w:sz w:val="68"/>
                                <w:szCs w:val="6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23pt;height:45.75pt" fillcolor="#493d87" strokecolor="#7030a0">
                                  <v:fill color2="#dfdbe5"/>
                                  <v:shadow on="t" color="#4d4d4d" opacity="52429f" offset=",3pt"/>
                                  <v:textpath style="font-family:&quot;Arial Black&quot;;v-text-spacing:78650f;v-text-kern:t" trim="t" fitpath="t" string="Insider"/>
                                </v:shape>
                              </w:pi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03.2pt;margin-top:.8pt;width:140.45pt;height:55.1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" stroked="f">
                <v:textbox>
                  <w:txbxContent>
                    <w:p w:rsidR="009546B8" w:rsidRPr="00B270F2" w:rsidRDefault="00D36B8D" w:rsidP="00B270F2">
                      <w:r>
                        <w:rPr>
                          <w:b/>
                          <w:i/>
                          <w:color w:val="242988"/>
                          <w:sz w:val="68"/>
                          <w:szCs w:val="68"/>
                        </w:rPr>
                        <w:pict>
                          <v:shape id="_x0000_i1027" type="#_x0000_t136" style="width:123pt;height:45.75pt" fillcolor="#493d87" strokecolor="#7030a0">
                            <v:fill color2="#dfdbe5"/>
                            <v:shadow on="t" color="#4d4d4d" opacity="52429f" offset=",3pt"/>
                            <v:textpath style="font-family:&quot;Arial Black&quot;;v-text-spacing:78650f;v-text-kern:t" trim="t" fitpath="t" string="Insider"/>
                          </v:shape>
                        </w:pict>
                      </w:r>
                    </w:p>
                  </w:txbxContent>
                </v:textbox>
              </v:shape>
            </w:pict>
          </mc:Fallback>
        </mc:AlternateContent>
      </w:r>
      <w:r w:rsidR="00762984">
        <w:rPr>
          <w:b/>
          <w:noProof/>
          <w:lang w:bidi="ar-SA"/>
        </w:rPr>
        <w:drawing>
          <wp:inline distT="0" distB="0" distL="0" distR="0" wp14:anchorId="0179B66D" wp14:editId="355814DE">
            <wp:extent cx="1250431" cy="73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 Logo new color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3688" cy="739676"/>
                    </a:xfrm>
                    <a:prstGeom prst="rect">
                      <a:avLst/>
                    </a:prstGeom>
                    <a:noFill/>
                    <a:ln w="9525">
                      <a:noFill/>
                      <a:miter lim="800000"/>
                      <a:headEnd/>
                      <a:tailEnd/>
                    </a:ln>
                  </pic:spPr>
                </pic:pic>
              </a:graphicData>
            </a:graphic>
          </wp:inline>
        </w:drawing>
      </w:r>
      <w:r w:rsidR="006439C2">
        <w:rPr>
          <w:b/>
        </w:rPr>
        <w:t xml:space="preserve">         </w:t>
      </w:r>
      <w:r w:rsidR="004F5487" w:rsidRPr="00615CE0">
        <w:rPr>
          <w:b/>
        </w:rPr>
        <w:t xml:space="preserve"> </w:t>
      </w:r>
      <w:r w:rsidR="00D67EE4">
        <w:rPr>
          <w:b/>
        </w:rPr>
        <w:t xml:space="preserve"> </w:t>
      </w:r>
      <w:r w:rsidR="00B270F2" w:rsidRPr="00B234DC">
        <w:rPr>
          <w:b/>
          <w:i/>
          <w:position w:val="30"/>
          <w:sz w:val="56"/>
          <w:szCs w:val="56"/>
          <w14:shadow w14:blurRad="50800" w14:dist="38100" w14:dir="2700000" w14:sx="100000" w14:sy="100000" w14:kx="0" w14:ky="0" w14:algn="tl">
            <w14:srgbClr w14:val="000000">
              <w14:alpha w14:val="60000"/>
            </w14:srgbClr>
          </w14:shadow>
        </w:rPr>
        <w:t xml:space="preserve">  </w:t>
      </w:r>
    </w:p>
    <w:p w:rsidR="009E7484" w:rsidRDefault="00302A53" w:rsidP="004318D8">
      <w:pPr>
        <w:pBdr>
          <w:bottom w:val="single" w:sz="18" w:space="0" w:color="000080"/>
        </w:pBdr>
        <w:tabs>
          <w:tab w:val="left" w:pos="1560"/>
        </w:tabs>
        <w:ind w:left="-288"/>
        <w:outlineLvl w:val="0"/>
        <w:rPr>
          <w:i/>
          <w:sz w:val="28"/>
          <w:szCs w:val="28"/>
        </w:rPr>
      </w:pPr>
      <w:r>
        <w:rPr>
          <w:noProof/>
          <w:sz w:val="28"/>
          <w:szCs w:val="28"/>
          <w:lang w:eastAsia="zh-TW"/>
        </w:rPr>
        <w:t>January</w:t>
      </w:r>
      <w:r w:rsidR="0024787B">
        <w:rPr>
          <w:noProof/>
          <w:sz w:val="28"/>
          <w:szCs w:val="28"/>
          <w:lang w:eastAsia="zh-TW"/>
        </w:rPr>
        <w:t>/</w:t>
      </w:r>
      <w:r>
        <w:rPr>
          <w:noProof/>
          <w:sz w:val="28"/>
          <w:szCs w:val="28"/>
          <w:lang w:eastAsia="zh-TW"/>
        </w:rPr>
        <w:t>February</w:t>
      </w:r>
      <w:r w:rsidR="00070409">
        <w:rPr>
          <w:i/>
          <w:sz w:val="28"/>
          <w:szCs w:val="28"/>
        </w:rPr>
        <w:t xml:space="preserve"> 201</w:t>
      </w:r>
      <w:r>
        <w:rPr>
          <w:i/>
          <w:sz w:val="28"/>
          <w:szCs w:val="28"/>
        </w:rPr>
        <w:t>4</w:t>
      </w:r>
      <w:r w:rsidR="007B1CF3">
        <w:rPr>
          <w:i/>
          <w:sz w:val="28"/>
          <w:szCs w:val="28"/>
        </w:rPr>
        <w:t xml:space="preserve">                           </w:t>
      </w:r>
      <w:r w:rsidR="004318D8">
        <w:rPr>
          <w:i/>
          <w:sz w:val="28"/>
          <w:szCs w:val="28"/>
        </w:rPr>
        <w:tab/>
      </w:r>
      <w:r w:rsidR="004318D8">
        <w:rPr>
          <w:i/>
          <w:sz w:val="28"/>
          <w:szCs w:val="28"/>
        </w:rPr>
        <w:tab/>
      </w:r>
      <w:r w:rsidR="0033546F">
        <w:rPr>
          <w:i/>
          <w:sz w:val="28"/>
          <w:szCs w:val="28"/>
        </w:rPr>
        <w:t xml:space="preserve">       </w:t>
      </w:r>
    </w:p>
    <w:p w:rsidR="006D7C29" w:rsidRDefault="006D7C29" w:rsidP="006D7C29">
      <w:pPr>
        <w:pStyle w:val="NoSpacing"/>
        <w:jc w:val="left"/>
        <w:sectPr w:rsidR="006D7C29" w:rsidSect="00463839">
          <w:type w:val="continuous"/>
          <w:pgSz w:w="12240" w:h="15840" w:code="1"/>
          <w:pgMar w:top="1008" w:right="1152" w:bottom="720" w:left="1440" w:header="720" w:footer="720" w:gutter="0"/>
          <w:pgBorders w:offsetFrom="page">
            <w:top w:val="single" w:sz="48" w:space="24" w:color="594183"/>
            <w:left w:val="single" w:sz="48" w:space="24" w:color="594183"/>
            <w:bottom w:val="single" w:sz="48" w:space="24" w:color="594183"/>
            <w:right w:val="single" w:sz="48" w:space="24" w:color="594183"/>
          </w:pgBorders>
          <w:cols w:space="432"/>
          <w:docGrid w:linePitch="360"/>
        </w:sectPr>
      </w:pPr>
    </w:p>
    <w:p w:rsidR="00302A53" w:rsidRPr="00183860" w:rsidRDefault="00CD3340" w:rsidP="00302A53">
      <w:pPr>
        <w:spacing w:after="0" w:line="240" w:lineRule="auto"/>
        <w:contextualSpacing/>
        <w:jc w:val="center"/>
        <w:rPr>
          <w:b/>
          <w:i/>
          <w:color w:val="493D87"/>
          <w:sz w:val="32"/>
          <w:szCs w:val="32"/>
        </w:rPr>
      </w:pPr>
      <w:r w:rsidRPr="00183860">
        <w:rPr>
          <w:rFonts w:asciiTheme="minorHAnsi" w:hAnsiTheme="minorHAnsi"/>
          <w:noProof/>
          <w:sz w:val="32"/>
          <w:szCs w:val="32"/>
        </w:rPr>
        <w:lastRenderedPageBreak/>
        <w:drawing>
          <wp:anchor distT="0" distB="0" distL="114300" distR="114300" simplePos="0" relativeHeight="251709440" behindDoc="0" locked="0" layoutInCell="1" allowOverlap="1" wp14:anchorId="3F6D2A25" wp14:editId="59F6ACC0">
            <wp:simplePos x="0" y="0"/>
            <wp:positionH relativeFrom="column">
              <wp:posOffset>3272790</wp:posOffset>
            </wp:positionH>
            <wp:positionV relativeFrom="paragraph">
              <wp:posOffset>195580</wp:posOffset>
            </wp:positionV>
            <wp:extent cx="1000125" cy="150812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000125" cy="1508125"/>
                    </a:xfrm>
                    <a:prstGeom prst="rect">
                      <a:avLst/>
                    </a:prstGeom>
                  </pic:spPr>
                </pic:pic>
              </a:graphicData>
            </a:graphic>
            <wp14:sizeRelH relativeFrom="page">
              <wp14:pctWidth>0</wp14:pctWidth>
            </wp14:sizeRelH>
            <wp14:sizeRelV relativeFrom="page">
              <wp14:pctHeight>0</wp14:pctHeight>
            </wp14:sizeRelV>
          </wp:anchor>
        </w:drawing>
      </w:r>
      <w:r w:rsidR="00302A53" w:rsidRPr="00183860">
        <w:rPr>
          <w:b/>
          <w:i/>
          <w:color w:val="493D87"/>
          <w:sz w:val="32"/>
          <w:szCs w:val="32"/>
        </w:rPr>
        <w:t>Legal Same-Sex Marriages</w:t>
      </w:r>
    </w:p>
    <w:p w:rsidR="00302A53" w:rsidRPr="00183860" w:rsidRDefault="00302A53" w:rsidP="00302A53">
      <w:pPr>
        <w:spacing w:after="0" w:line="240" w:lineRule="auto"/>
        <w:contextualSpacing/>
        <w:jc w:val="center"/>
        <w:rPr>
          <w:b/>
          <w:i/>
          <w:color w:val="493D87"/>
          <w:sz w:val="32"/>
          <w:szCs w:val="32"/>
        </w:rPr>
      </w:pPr>
      <w:r w:rsidRPr="00183860">
        <w:rPr>
          <w:b/>
          <w:i/>
          <w:color w:val="493D87"/>
          <w:sz w:val="32"/>
          <w:szCs w:val="32"/>
        </w:rPr>
        <w:t>Tax Return Filing Update</w:t>
      </w:r>
    </w:p>
    <w:p w:rsidR="00302A53" w:rsidRPr="00986353" w:rsidRDefault="00302A53" w:rsidP="00302A53">
      <w:pPr>
        <w:spacing w:after="0" w:line="240" w:lineRule="auto"/>
        <w:jc w:val="center"/>
        <w:rPr>
          <w:sz w:val="12"/>
          <w:szCs w:val="12"/>
        </w:rPr>
      </w:pPr>
    </w:p>
    <w:p w:rsidR="00302A53" w:rsidRPr="00183860" w:rsidRDefault="00302A53" w:rsidP="00302A53">
      <w:pPr>
        <w:rPr>
          <w:sz w:val="21"/>
          <w:szCs w:val="21"/>
        </w:rPr>
      </w:pPr>
      <w:r w:rsidRPr="00183860">
        <w:rPr>
          <w:sz w:val="21"/>
          <w:szCs w:val="21"/>
        </w:rPr>
        <w:t>On August 29, 2013 the U.S. Department of the Treasury and the Internal Revenue Service (IRS) ruled that same-sex couples, legally married in jurisdictions that recognize their marriages will be treated as married for federal tax purposes.  The ruling applies regardless of whether the couple lives in a jurisdiction that recognizes same-sex marriage or a jurisdiction that does not recognize same-sex marriage at the time of filing. Any same-sex marriage legally entered into in one of the 50 states, the District of Columbia, a U.S. territory or a foreign country will be covered by the ruling.  However, the ruling does not apply to registered domestic partnerships, civil unions or similar formal relationships recognized under state law.</w:t>
      </w:r>
    </w:p>
    <w:p w:rsidR="00302A53" w:rsidRPr="00183860" w:rsidRDefault="00302A53" w:rsidP="00302A53">
      <w:pPr>
        <w:rPr>
          <w:sz w:val="21"/>
          <w:szCs w:val="21"/>
        </w:rPr>
      </w:pPr>
      <w:r w:rsidRPr="00183860">
        <w:rPr>
          <w:sz w:val="21"/>
          <w:szCs w:val="21"/>
        </w:rPr>
        <w:t xml:space="preserve">This new ruling will generally require legally married same-sex couples to file their 2013 federal income tax return using either the married filing jointly or married filing separately filing status.  There is also a possibility of amending prior year tax returns to reflect the married filing status.  At this time Arizona does not recognize same-sex marriages and a married filing jointly tax return will not be accepted.  A new Schedule S will be required with the Arizona joint return to segregate the income for each taxpayer.  As this is a new area of tax law please </w:t>
      </w:r>
      <w:r w:rsidR="00C071B9">
        <w:rPr>
          <w:sz w:val="21"/>
          <w:szCs w:val="21"/>
        </w:rPr>
        <w:t xml:space="preserve">feel free to </w:t>
      </w:r>
      <w:r w:rsidRPr="00183860">
        <w:rPr>
          <w:sz w:val="21"/>
          <w:szCs w:val="21"/>
        </w:rPr>
        <w:t xml:space="preserve">contact </w:t>
      </w:r>
      <w:r w:rsidR="00C071B9">
        <w:rPr>
          <w:sz w:val="21"/>
          <w:szCs w:val="21"/>
        </w:rPr>
        <w:t xml:space="preserve">us </w:t>
      </w:r>
      <w:r w:rsidRPr="00183860">
        <w:rPr>
          <w:sz w:val="21"/>
          <w:szCs w:val="21"/>
        </w:rPr>
        <w:t>to discuss your individual situation.</w:t>
      </w:r>
    </w:p>
    <w:p w:rsidR="00183860" w:rsidRPr="00183860" w:rsidRDefault="00183860" w:rsidP="00183860">
      <w:pPr>
        <w:spacing w:after="0" w:line="240" w:lineRule="auto"/>
        <w:contextualSpacing/>
        <w:jc w:val="center"/>
        <w:rPr>
          <w:b/>
          <w:i/>
          <w:color w:val="493D87"/>
          <w:sz w:val="32"/>
          <w:szCs w:val="32"/>
        </w:rPr>
      </w:pPr>
      <w:r w:rsidRPr="00183860">
        <w:rPr>
          <w:b/>
          <w:i/>
          <w:color w:val="493D87"/>
          <w:sz w:val="32"/>
          <w:szCs w:val="32"/>
        </w:rPr>
        <w:t>Tax Season Extended Office Hours</w:t>
      </w:r>
    </w:p>
    <w:p w:rsidR="00183860" w:rsidRDefault="00183860" w:rsidP="00C071B9">
      <w:pPr>
        <w:spacing w:after="0" w:line="240" w:lineRule="auto"/>
        <w:contextualSpacing/>
        <w:rPr>
          <w:b/>
          <w:i/>
          <w:sz w:val="21"/>
          <w:szCs w:val="21"/>
        </w:rPr>
      </w:pPr>
      <w:r>
        <w:rPr>
          <w:b/>
          <w:i/>
          <w:noProof/>
          <w:color w:val="493D87"/>
          <w:sz w:val="28"/>
          <w:szCs w:val="28"/>
        </w:rPr>
        <w:drawing>
          <wp:anchor distT="0" distB="0" distL="114300" distR="114300" simplePos="0" relativeHeight="251712512" behindDoc="0" locked="0" layoutInCell="1" allowOverlap="1" wp14:anchorId="78F5D407" wp14:editId="09D41A91">
            <wp:simplePos x="0" y="0"/>
            <wp:positionH relativeFrom="column">
              <wp:posOffset>-95250</wp:posOffset>
            </wp:positionH>
            <wp:positionV relativeFrom="paragraph">
              <wp:posOffset>27940</wp:posOffset>
            </wp:positionV>
            <wp:extent cx="904875" cy="904875"/>
            <wp:effectExtent l="0" t="0" r="9525" b="9525"/>
            <wp:wrapSquare wrapText="bothSides"/>
            <wp:docPr id="12" name="Picture 12" descr="C:\Users\ColeenK\AppData\Local\Microsoft\Windows\Temporary Internet Files\Content.IE5\BPO1DZ7W\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eenK\AppData\Local\Microsoft\Windows\Temporary Internet Files\Content.IE5\BPO1DZ7W\dglxasset[1].as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860" w:rsidRPr="00507004" w:rsidRDefault="00183860" w:rsidP="00183860">
      <w:pPr>
        <w:spacing w:after="0" w:line="240" w:lineRule="auto"/>
        <w:jc w:val="center"/>
        <w:rPr>
          <w:b/>
          <w:i/>
          <w:sz w:val="21"/>
          <w:szCs w:val="21"/>
        </w:rPr>
      </w:pPr>
      <w:r w:rsidRPr="00507004">
        <w:rPr>
          <w:b/>
          <w:i/>
          <w:sz w:val="21"/>
          <w:szCs w:val="21"/>
        </w:rPr>
        <w:t>Beginning February 10, 2014</w:t>
      </w:r>
    </w:p>
    <w:p w:rsidR="00183860" w:rsidRPr="00183860" w:rsidRDefault="00183860" w:rsidP="00183860">
      <w:pPr>
        <w:spacing w:after="0" w:line="240" w:lineRule="auto"/>
        <w:jc w:val="center"/>
        <w:rPr>
          <w:sz w:val="12"/>
          <w:szCs w:val="12"/>
        </w:rPr>
      </w:pPr>
    </w:p>
    <w:p w:rsidR="00183860" w:rsidRPr="00507004" w:rsidRDefault="00183860" w:rsidP="00183860">
      <w:pPr>
        <w:spacing w:after="0" w:line="240" w:lineRule="auto"/>
        <w:jc w:val="center"/>
        <w:rPr>
          <w:sz w:val="21"/>
          <w:szCs w:val="21"/>
        </w:rPr>
      </w:pPr>
      <w:r w:rsidRPr="00507004">
        <w:rPr>
          <w:sz w:val="21"/>
          <w:szCs w:val="21"/>
        </w:rPr>
        <w:t>Monday - Friday 7:30-5:30</w:t>
      </w:r>
    </w:p>
    <w:p w:rsidR="00183860" w:rsidRPr="00507004" w:rsidRDefault="00183860" w:rsidP="00183860">
      <w:pPr>
        <w:jc w:val="center"/>
        <w:rPr>
          <w:rFonts w:ascii="Times New Roman" w:hAnsi="Times New Roman"/>
          <w:b/>
          <w:sz w:val="21"/>
          <w:szCs w:val="21"/>
          <w:u w:val="single"/>
        </w:rPr>
      </w:pPr>
      <w:r w:rsidRPr="00507004">
        <w:rPr>
          <w:sz w:val="21"/>
          <w:szCs w:val="21"/>
        </w:rPr>
        <w:t>Saturday 8:00 - Noon</w:t>
      </w:r>
    </w:p>
    <w:p w:rsidR="00C071B9" w:rsidRDefault="00C071B9" w:rsidP="00CD3340">
      <w:pPr>
        <w:spacing w:line="240" w:lineRule="auto"/>
        <w:contextualSpacing/>
        <w:jc w:val="center"/>
        <w:rPr>
          <w:b/>
          <w:i/>
          <w:color w:val="493D87"/>
          <w:sz w:val="32"/>
          <w:szCs w:val="32"/>
        </w:rPr>
      </w:pPr>
    </w:p>
    <w:p w:rsidR="00CD3340" w:rsidRPr="00183860" w:rsidRDefault="00CD3340" w:rsidP="00CD3340">
      <w:pPr>
        <w:spacing w:line="240" w:lineRule="auto"/>
        <w:contextualSpacing/>
        <w:jc w:val="center"/>
        <w:rPr>
          <w:b/>
          <w:i/>
          <w:color w:val="493D87"/>
          <w:sz w:val="32"/>
          <w:szCs w:val="32"/>
        </w:rPr>
      </w:pPr>
      <w:r w:rsidRPr="00183860">
        <w:rPr>
          <w:b/>
          <w:i/>
          <w:color w:val="493D87"/>
          <w:sz w:val="32"/>
          <w:szCs w:val="32"/>
        </w:rPr>
        <w:lastRenderedPageBreak/>
        <w:t>Meet the Team</w:t>
      </w:r>
    </w:p>
    <w:p w:rsidR="00CD3340" w:rsidRPr="00921E89" w:rsidRDefault="00CD3340" w:rsidP="00CD3340">
      <w:pPr>
        <w:spacing w:line="240" w:lineRule="auto"/>
        <w:contextualSpacing/>
        <w:jc w:val="center"/>
        <w:rPr>
          <w:b/>
          <w:i/>
          <w:color w:val="493D87"/>
          <w:sz w:val="12"/>
          <w:szCs w:val="12"/>
        </w:rPr>
      </w:pPr>
    </w:p>
    <w:p w:rsidR="00CD3340" w:rsidRPr="00183860" w:rsidRDefault="00CD3340" w:rsidP="00D36B8D">
      <w:pPr>
        <w:spacing w:after="0"/>
        <w:rPr>
          <w:sz w:val="21"/>
          <w:szCs w:val="21"/>
        </w:rPr>
      </w:pPr>
      <w:r w:rsidRPr="00183860">
        <w:rPr>
          <w:sz w:val="21"/>
          <w:szCs w:val="21"/>
        </w:rPr>
        <w:t>Tara King-Taylor joined the HBL team in 2002 and specializes in tax issues related to retirement plans, exempt organizations, estates, trusts, and individuals. Tara earned a Master's of Accounting and a Bachelor of Science</w:t>
      </w:r>
      <w:r w:rsidR="00183860">
        <w:rPr>
          <w:sz w:val="21"/>
          <w:szCs w:val="21"/>
        </w:rPr>
        <w:t xml:space="preserve"> from the University of Arizona</w:t>
      </w:r>
      <w:r w:rsidRPr="00183860">
        <w:rPr>
          <w:sz w:val="21"/>
          <w:szCs w:val="21"/>
        </w:rPr>
        <w:t xml:space="preserve"> in Public</w:t>
      </w:r>
      <w:r w:rsidR="00C071B9">
        <w:rPr>
          <w:sz w:val="21"/>
          <w:szCs w:val="21"/>
        </w:rPr>
        <w:t xml:space="preserve"> Administration</w:t>
      </w:r>
      <w:r w:rsidRPr="00183860">
        <w:rPr>
          <w:sz w:val="21"/>
          <w:szCs w:val="21"/>
        </w:rPr>
        <w:t>. She also attended the Universidad of Salamanca in Spain and holds a Master's of Arts from Rutgers University. She is a member of the AICPA and ASCPA, and currently serves on the boards for the Planned Giving Roundtable of Southern Arizona and Make Way for Books. Tara enjoys spending her free time with her young son.</w:t>
      </w:r>
    </w:p>
    <w:p w:rsidR="00CD3340" w:rsidRPr="00183860" w:rsidRDefault="00CD3340" w:rsidP="00D36B8D">
      <w:pPr>
        <w:spacing w:after="0" w:line="240" w:lineRule="auto"/>
        <w:contextualSpacing/>
        <w:jc w:val="center"/>
        <w:rPr>
          <w:b/>
          <w:i/>
          <w:color w:val="493D87"/>
          <w:sz w:val="32"/>
          <w:szCs w:val="32"/>
        </w:rPr>
      </w:pPr>
      <w:r w:rsidRPr="00183860">
        <w:rPr>
          <w:b/>
          <w:i/>
          <w:color w:val="493D87"/>
          <w:sz w:val="32"/>
          <w:szCs w:val="32"/>
        </w:rPr>
        <w:t>Community Corner</w:t>
      </w:r>
    </w:p>
    <w:p w:rsidR="00CD3340" w:rsidRPr="00183860" w:rsidRDefault="00CD3340" w:rsidP="00183860">
      <w:pPr>
        <w:rPr>
          <w:sz w:val="21"/>
          <w:szCs w:val="21"/>
        </w:rPr>
      </w:pPr>
      <w:r w:rsidRPr="00183860">
        <w:rPr>
          <w:noProof/>
          <w:sz w:val="21"/>
          <w:szCs w:val="21"/>
        </w:rPr>
        <w:drawing>
          <wp:anchor distT="0" distB="0" distL="114300" distR="114300" simplePos="0" relativeHeight="251710464" behindDoc="0" locked="0" layoutInCell="1" allowOverlap="1" wp14:anchorId="5E4616AE" wp14:editId="41E0FDA2">
            <wp:simplePos x="0" y="0"/>
            <wp:positionH relativeFrom="column">
              <wp:posOffset>-15240</wp:posOffset>
            </wp:positionH>
            <wp:positionV relativeFrom="paragraph">
              <wp:posOffset>67310</wp:posOffset>
            </wp:positionV>
            <wp:extent cx="1909445" cy="571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APH2N9.jpg"/>
                    <pic:cNvPicPr/>
                  </pic:nvPicPr>
                  <pic:blipFill>
                    <a:blip r:embed="rId12">
                      <a:extLst>
                        <a:ext uri="{28A0092B-C50C-407E-A947-70E740481C1C}">
                          <a14:useLocalDpi xmlns:a14="http://schemas.microsoft.com/office/drawing/2010/main" val="0"/>
                        </a:ext>
                      </a:extLst>
                    </a:blip>
                    <a:stretch>
                      <a:fillRect/>
                    </a:stretch>
                  </pic:blipFill>
                  <pic:spPr>
                    <a:xfrm>
                      <a:off x="0" y="0"/>
                      <a:ext cx="1909445" cy="571500"/>
                    </a:xfrm>
                    <a:prstGeom prst="rect">
                      <a:avLst/>
                    </a:prstGeom>
                  </pic:spPr>
                </pic:pic>
              </a:graphicData>
            </a:graphic>
            <wp14:sizeRelH relativeFrom="page">
              <wp14:pctWidth>0</wp14:pctWidth>
            </wp14:sizeRelH>
            <wp14:sizeRelV relativeFrom="page">
              <wp14:pctHeight>0</wp14:pctHeight>
            </wp14:sizeRelV>
          </wp:anchor>
        </w:drawing>
      </w:r>
      <w:r w:rsidRPr="00183860">
        <w:rPr>
          <w:sz w:val="21"/>
          <w:szCs w:val="21"/>
        </w:rPr>
        <w:t xml:space="preserve">Tax manager Mike DeVries is on the board for the Rotary Club’s Tucson Classics Car Show. This year’s show featured 425 classic cars along with vendor booths, a DJ and fun activities for all who participated. </w:t>
      </w:r>
    </w:p>
    <w:p w:rsidR="00CD3340" w:rsidRPr="00183860" w:rsidRDefault="00CD3340" w:rsidP="00183860">
      <w:pPr>
        <w:rPr>
          <w:sz w:val="21"/>
          <w:szCs w:val="21"/>
        </w:rPr>
      </w:pPr>
      <w:r w:rsidRPr="00183860">
        <w:rPr>
          <w:noProof/>
          <w:sz w:val="21"/>
          <w:szCs w:val="21"/>
        </w:rPr>
        <w:drawing>
          <wp:anchor distT="0" distB="0" distL="114300" distR="114300" simplePos="0" relativeHeight="251708416" behindDoc="0" locked="0" layoutInCell="1" allowOverlap="1" wp14:anchorId="60D8AD37" wp14:editId="7379F2B1">
            <wp:simplePos x="0" y="0"/>
            <wp:positionH relativeFrom="column">
              <wp:posOffset>2044065</wp:posOffset>
            </wp:positionH>
            <wp:positionV relativeFrom="paragraph">
              <wp:posOffset>638175</wp:posOffset>
            </wp:positionV>
            <wp:extent cx="920750" cy="6864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0750" cy="686435"/>
                    </a:xfrm>
                    <a:prstGeom prst="rect">
                      <a:avLst/>
                    </a:prstGeom>
                  </pic:spPr>
                </pic:pic>
              </a:graphicData>
            </a:graphic>
            <wp14:sizeRelH relativeFrom="page">
              <wp14:pctWidth>0</wp14:pctWidth>
            </wp14:sizeRelH>
            <wp14:sizeRelV relativeFrom="page">
              <wp14:pctHeight>0</wp14:pctHeight>
            </wp14:sizeRelV>
          </wp:anchor>
        </w:drawing>
      </w:r>
      <w:r w:rsidRPr="00183860">
        <w:rPr>
          <w:sz w:val="21"/>
          <w:szCs w:val="21"/>
        </w:rPr>
        <w:t>The 7th annual show held in October 2013, raised money for Reading Seed Children’s Literacy Program. Since 2004, The Rotary Club of Tucson has donated about one million dollars to the program. Reading Seed Children’s Literacy Program is dedicated to helping children in Pima County learn to read</w:t>
      </w:r>
      <w:r w:rsidR="00183860">
        <w:rPr>
          <w:sz w:val="21"/>
          <w:szCs w:val="21"/>
        </w:rPr>
        <w:t>.</w:t>
      </w:r>
      <w:r w:rsidRPr="00183860">
        <w:rPr>
          <w:sz w:val="21"/>
          <w:szCs w:val="21"/>
        </w:rPr>
        <w:t xml:space="preserve"> </w:t>
      </w:r>
    </w:p>
    <w:p w:rsidR="00CD3340" w:rsidRPr="00183860" w:rsidRDefault="00CD3340" w:rsidP="00CD3340">
      <w:pPr>
        <w:rPr>
          <w:sz w:val="21"/>
          <w:szCs w:val="21"/>
        </w:rPr>
      </w:pPr>
      <w:r w:rsidRPr="00183860">
        <w:rPr>
          <w:sz w:val="21"/>
          <w:szCs w:val="21"/>
        </w:rPr>
        <w:t xml:space="preserve">In addition to </w:t>
      </w:r>
      <w:r w:rsidR="00C071B9">
        <w:rPr>
          <w:sz w:val="21"/>
          <w:szCs w:val="21"/>
        </w:rPr>
        <w:t xml:space="preserve">the </w:t>
      </w:r>
      <w:r w:rsidRPr="00183860">
        <w:rPr>
          <w:sz w:val="21"/>
          <w:szCs w:val="21"/>
        </w:rPr>
        <w:t xml:space="preserve">Reading Seed </w:t>
      </w:r>
      <w:r w:rsidR="00C071B9">
        <w:rPr>
          <w:sz w:val="21"/>
          <w:szCs w:val="21"/>
        </w:rPr>
        <w:t>Child</w:t>
      </w:r>
      <w:r w:rsidRPr="00183860">
        <w:rPr>
          <w:sz w:val="21"/>
          <w:szCs w:val="21"/>
        </w:rPr>
        <w:t xml:space="preserve">ren’s Literacy Program, proceeds from the event fund grants of $25,000 each for Youth on Their Own, </w:t>
      </w:r>
      <w:proofErr w:type="gramStart"/>
      <w:r w:rsidRPr="00183860">
        <w:rPr>
          <w:sz w:val="21"/>
          <w:szCs w:val="21"/>
        </w:rPr>
        <w:t>which helps homeless and abandoned student finish high school</w:t>
      </w:r>
      <w:r w:rsidR="00D36B8D">
        <w:rPr>
          <w:sz w:val="21"/>
          <w:szCs w:val="21"/>
        </w:rPr>
        <w:t>,</w:t>
      </w:r>
      <w:r w:rsidRPr="00183860">
        <w:rPr>
          <w:sz w:val="21"/>
          <w:szCs w:val="21"/>
        </w:rPr>
        <w:t xml:space="preserve"> and the neonatal intensive care unit at St. Joseph’s Hospital.</w:t>
      </w:r>
      <w:proofErr w:type="gramEnd"/>
    </w:p>
    <w:p w:rsidR="00302A53" w:rsidRPr="00183860" w:rsidRDefault="00302A53" w:rsidP="00302A53">
      <w:pPr>
        <w:spacing w:after="0" w:line="240" w:lineRule="auto"/>
        <w:contextualSpacing/>
        <w:jc w:val="center"/>
        <w:rPr>
          <w:b/>
          <w:i/>
          <w:color w:val="493D87"/>
          <w:sz w:val="32"/>
          <w:szCs w:val="32"/>
        </w:rPr>
      </w:pPr>
      <w:r w:rsidRPr="00183860">
        <w:rPr>
          <w:b/>
          <w:i/>
          <w:color w:val="493D87"/>
          <w:sz w:val="32"/>
          <w:szCs w:val="32"/>
        </w:rPr>
        <w:lastRenderedPageBreak/>
        <w:t xml:space="preserve">New Tangible Property &amp; Repair Regulations </w:t>
      </w:r>
    </w:p>
    <w:p w:rsidR="00302A53" w:rsidRDefault="00302A53" w:rsidP="00921E89">
      <w:pPr>
        <w:spacing w:after="0"/>
        <w:rPr>
          <w:rFonts w:ascii="Times New Roman" w:hAnsi="Times New Roman"/>
          <w:sz w:val="12"/>
          <w:szCs w:val="12"/>
        </w:rPr>
      </w:pPr>
    </w:p>
    <w:p w:rsidR="00302A53" w:rsidRPr="00183860" w:rsidRDefault="00302A53" w:rsidP="00304666">
      <w:pPr>
        <w:rPr>
          <w:rFonts w:asciiTheme="minorHAnsi" w:hAnsiTheme="minorHAnsi"/>
          <w:sz w:val="21"/>
          <w:szCs w:val="21"/>
        </w:rPr>
      </w:pPr>
      <w:r w:rsidRPr="00183860">
        <w:rPr>
          <w:rFonts w:asciiTheme="minorHAnsi" w:hAnsiTheme="minorHAnsi"/>
          <w:sz w:val="21"/>
          <w:szCs w:val="21"/>
        </w:rPr>
        <w:t xml:space="preserve">Does </w:t>
      </w:r>
      <w:proofErr w:type="gramStart"/>
      <w:r w:rsidR="00921E89" w:rsidRPr="00183860">
        <w:rPr>
          <w:rFonts w:asciiTheme="minorHAnsi" w:hAnsiTheme="minorHAnsi"/>
          <w:sz w:val="21"/>
          <w:szCs w:val="21"/>
        </w:rPr>
        <w:t>an expenditure</w:t>
      </w:r>
      <w:proofErr w:type="gramEnd"/>
      <w:r w:rsidRPr="00183860">
        <w:rPr>
          <w:rFonts w:asciiTheme="minorHAnsi" w:hAnsiTheme="minorHAnsi"/>
          <w:sz w:val="21"/>
          <w:szCs w:val="21"/>
        </w:rPr>
        <w:t xml:space="preserve"> get capitalized and depreciated over time or does it get expensed immediately? The tax law answer to this question has undergone a </w:t>
      </w:r>
      <w:r w:rsidR="00921E89" w:rsidRPr="00183860">
        <w:rPr>
          <w:rFonts w:asciiTheme="minorHAnsi" w:hAnsiTheme="minorHAnsi"/>
          <w:sz w:val="21"/>
          <w:szCs w:val="21"/>
        </w:rPr>
        <w:t>major</w:t>
      </w:r>
      <w:r w:rsidRPr="00183860">
        <w:rPr>
          <w:rFonts w:asciiTheme="minorHAnsi" w:hAnsiTheme="minorHAnsi"/>
          <w:sz w:val="21"/>
          <w:szCs w:val="21"/>
        </w:rPr>
        <w:t xml:space="preserve"> overhaul in the last three years as </w:t>
      </w:r>
      <w:r w:rsidR="00D36B8D">
        <w:rPr>
          <w:rFonts w:asciiTheme="minorHAnsi" w:hAnsiTheme="minorHAnsi"/>
          <w:sz w:val="21"/>
          <w:szCs w:val="21"/>
        </w:rPr>
        <w:t xml:space="preserve">the </w:t>
      </w:r>
      <w:r w:rsidRPr="00183860">
        <w:rPr>
          <w:rFonts w:asciiTheme="minorHAnsi" w:hAnsiTheme="minorHAnsi"/>
          <w:sz w:val="21"/>
          <w:szCs w:val="21"/>
        </w:rPr>
        <w:t xml:space="preserve">IRS </w:t>
      </w:r>
      <w:r w:rsidR="00304666">
        <w:rPr>
          <w:rFonts w:asciiTheme="minorHAnsi" w:hAnsiTheme="minorHAnsi"/>
          <w:sz w:val="21"/>
          <w:szCs w:val="21"/>
        </w:rPr>
        <w:t>has</w:t>
      </w:r>
      <w:r w:rsidRPr="00183860">
        <w:rPr>
          <w:rFonts w:asciiTheme="minorHAnsi" w:hAnsiTheme="minorHAnsi"/>
          <w:sz w:val="21"/>
          <w:szCs w:val="21"/>
        </w:rPr>
        <w:t xml:space="preserve"> </w:t>
      </w:r>
      <w:r w:rsidR="00304666">
        <w:rPr>
          <w:rFonts w:asciiTheme="minorHAnsi" w:hAnsiTheme="minorHAnsi"/>
          <w:sz w:val="21"/>
          <w:szCs w:val="21"/>
        </w:rPr>
        <w:t>i</w:t>
      </w:r>
      <w:r w:rsidRPr="00183860">
        <w:rPr>
          <w:rFonts w:asciiTheme="minorHAnsi" w:hAnsiTheme="minorHAnsi"/>
          <w:sz w:val="21"/>
          <w:szCs w:val="21"/>
        </w:rPr>
        <w:t xml:space="preserve">ssued </w:t>
      </w:r>
      <w:r w:rsidR="00304666">
        <w:rPr>
          <w:rFonts w:asciiTheme="minorHAnsi" w:hAnsiTheme="minorHAnsi"/>
          <w:sz w:val="21"/>
          <w:szCs w:val="21"/>
        </w:rPr>
        <w:t>p</w:t>
      </w:r>
      <w:r w:rsidRPr="00183860">
        <w:rPr>
          <w:rFonts w:asciiTheme="minorHAnsi" w:hAnsiTheme="minorHAnsi"/>
          <w:sz w:val="21"/>
          <w:szCs w:val="21"/>
        </w:rPr>
        <w:t>roposed</w:t>
      </w:r>
      <w:r w:rsidR="00304666">
        <w:rPr>
          <w:rFonts w:asciiTheme="minorHAnsi" w:hAnsiTheme="minorHAnsi"/>
          <w:sz w:val="21"/>
          <w:szCs w:val="21"/>
        </w:rPr>
        <w:t>,</w:t>
      </w:r>
      <w:r w:rsidRPr="00183860">
        <w:rPr>
          <w:rFonts w:asciiTheme="minorHAnsi" w:hAnsiTheme="minorHAnsi"/>
          <w:sz w:val="21"/>
          <w:szCs w:val="21"/>
        </w:rPr>
        <w:t xml:space="preserve"> temporary </w:t>
      </w:r>
      <w:r w:rsidR="00304666">
        <w:rPr>
          <w:rFonts w:asciiTheme="minorHAnsi" w:hAnsiTheme="minorHAnsi"/>
          <w:sz w:val="21"/>
          <w:szCs w:val="21"/>
        </w:rPr>
        <w:t xml:space="preserve">and </w:t>
      </w:r>
      <w:r w:rsidRPr="00183860">
        <w:rPr>
          <w:rFonts w:asciiTheme="minorHAnsi" w:hAnsiTheme="minorHAnsi"/>
          <w:sz w:val="21"/>
          <w:szCs w:val="21"/>
        </w:rPr>
        <w:t xml:space="preserve">recently final </w:t>
      </w:r>
      <w:r w:rsidR="00304666">
        <w:rPr>
          <w:rFonts w:asciiTheme="minorHAnsi" w:hAnsiTheme="minorHAnsi"/>
          <w:sz w:val="21"/>
          <w:szCs w:val="21"/>
        </w:rPr>
        <w:t>regulations</w:t>
      </w:r>
      <w:r w:rsidRPr="00183860">
        <w:rPr>
          <w:rFonts w:asciiTheme="minorHAnsi" w:hAnsiTheme="minorHAnsi"/>
          <w:sz w:val="21"/>
          <w:szCs w:val="21"/>
        </w:rPr>
        <w:t>.</w:t>
      </w:r>
    </w:p>
    <w:p w:rsidR="00302A53" w:rsidRPr="00183860" w:rsidRDefault="00921E89" w:rsidP="00304666">
      <w:pPr>
        <w:rPr>
          <w:rFonts w:asciiTheme="minorHAnsi" w:hAnsiTheme="minorHAnsi"/>
          <w:sz w:val="21"/>
          <w:szCs w:val="21"/>
        </w:rPr>
      </w:pPr>
      <w:r w:rsidRPr="00183860">
        <w:rPr>
          <w:rFonts w:asciiTheme="minorHAnsi" w:hAnsiTheme="minorHAnsi"/>
          <w:sz w:val="21"/>
          <w:szCs w:val="21"/>
        </w:rPr>
        <w:t>T</w:t>
      </w:r>
      <w:r w:rsidR="00302A53" w:rsidRPr="00183860">
        <w:rPr>
          <w:rFonts w:asciiTheme="minorHAnsi" w:hAnsiTheme="minorHAnsi"/>
          <w:sz w:val="21"/>
          <w:szCs w:val="21"/>
        </w:rPr>
        <w:t>he regulations make an attempt to better align tax law with what court decisions have been saying for decades. Addressed are areas involving assets newly acquired and placed into service, later repairs and maintenance of those assets and materials and supplies you may be purchasing and have on hand. The regulations are broad, lengthy and comprehensive, having potential impact on very large capital-intensive businesses, individual owners of residential rental property and every taxpayer in between.</w:t>
      </w:r>
    </w:p>
    <w:p w:rsidR="00302A53" w:rsidRPr="00183860" w:rsidRDefault="00507004" w:rsidP="00304666">
      <w:pPr>
        <w:rPr>
          <w:rFonts w:asciiTheme="minorHAnsi" w:hAnsiTheme="minorHAnsi"/>
          <w:sz w:val="21"/>
          <w:szCs w:val="21"/>
        </w:rPr>
      </w:pPr>
      <w:r w:rsidRPr="00183860">
        <w:rPr>
          <w:rFonts w:asciiTheme="minorHAnsi" w:hAnsiTheme="minorHAnsi"/>
          <w:sz w:val="21"/>
          <w:szCs w:val="21"/>
        </w:rPr>
        <w:t>In general, the new rules are mandatory for</w:t>
      </w:r>
      <w:r w:rsidR="00302A53" w:rsidRPr="00183860">
        <w:rPr>
          <w:rFonts w:asciiTheme="minorHAnsi" w:hAnsiTheme="minorHAnsi"/>
          <w:sz w:val="21"/>
          <w:szCs w:val="21"/>
        </w:rPr>
        <w:t xml:space="preserve"> the 2014 tax year but, at the taxpayer’s discretion, </w:t>
      </w:r>
      <w:r w:rsidRPr="00183860">
        <w:rPr>
          <w:rFonts w:asciiTheme="minorHAnsi" w:hAnsiTheme="minorHAnsi"/>
          <w:sz w:val="21"/>
          <w:szCs w:val="21"/>
        </w:rPr>
        <w:t>may have been</w:t>
      </w:r>
      <w:r w:rsidR="00302A53" w:rsidRPr="00183860">
        <w:rPr>
          <w:rFonts w:asciiTheme="minorHAnsi" w:hAnsiTheme="minorHAnsi"/>
          <w:sz w:val="21"/>
          <w:szCs w:val="21"/>
        </w:rPr>
        <w:t xml:space="preserve"> implemented sooner. Also, unlike most tax laws that have only prospective effect once enacted, these can have far-reaching retroactive impacts. </w:t>
      </w:r>
    </w:p>
    <w:p w:rsidR="00302A53" w:rsidRPr="00183860" w:rsidRDefault="00304666" w:rsidP="00304666">
      <w:pPr>
        <w:rPr>
          <w:rFonts w:asciiTheme="minorHAnsi" w:hAnsiTheme="minorHAnsi"/>
          <w:sz w:val="21"/>
          <w:szCs w:val="21"/>
        </w:rPr>
      </w:pPr>
      <w:r>
        <w:rPr>
          <w:rFonts w:asciiTheme="minorHAnsi" w:hAnsiTheme="minorHAnsi"/>
          <w:noProof/>
          <w:sz w:val="21"/>
          <w:szCs w:val="21"/>
        </w:rPr>
        <w:drawing>
          <wp:anchor distT="0" distB="0" distL="114300" distR="114300" simplePos="0" relativeHeight="251715584" behindDoc="1" locked="0" layoutInCell="1" allowOverlap="1" wp14:anchorId="5CE13907" wp14:editId="4755A8A5">
            <wp:simplePos x="0" y="0"/>
            <wp:positionH relativeFrom="column">
              <wp:posOffset>-251460</wp:posOffset>
            </wp:positionH>
            <wp:positionV relativeFrom="paragraph">
              <wp:posOffset>2349500</wp:posOffset>
            </wp:positionV>
            <wp:extent cx="1186815" cy="1123950"/>
            <wp:effectExtent l="0" t="0" r="0" b="0"/>
            <wp:wrapTight wrapText="bothSides">
              <wp:wrapPolygon edited="0">
                <wp:start x="11788" y="0"/>
                <wp:lineTo x="4854" y="366"/>
                <wp:lineTo x="4161" y="2929"/>
                <wp:lineTo x="5547" y="5858"/>
                <wp:lineTo x="4507" y="9153"/>
                <wp:lineTo x="4507" y="11349"/>
                <wp:lineTo x="0" y="15010"/>
                <wp:lineTo x="0" y="16475"/>
                <wp:lineTo x="347" y="17573"/>
                <wp:lineTo x="4854" y="21234"/>
                <wp:lineTo x="5201" y="21234"/>
                <wp:lineTo x="6934" y="21234"/>
                <wp:lineTo x="11441" y="19403"/>
                <wp:lineTo x="10055" y="17573"/>
                <wp:lineTo x="12135" y="11715"/>
                <wp:lineTo x="21149" y="10983"/>
                <wp:lineTo x="21149" y="8420"/>
                <wp:lineTo x="20456" y="5492"/>
                <wp:lineTo x="15949" y="1464"/>
                <wp:lineTo x="13175" y="0"/>
                <wp:lineTo x="11788" y="0"/>
              </wp:wrapPolygon>
            </wp:wrapTight>
            <wp:docPr id="15" name="Picture 15" descr="C:\Users\ColeenK\AppData\Local\Microsoft\Windows\Temporary Internet Files\Content.IE5\F21EDDCM\MC9000787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leenK\AppData\Local\Microsoft\Windows\Temporary Internet Files\Content.IE5\F21EDDCM\MC90007877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81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1"/>
          <w:szCs w:val="21"/>
        </w:rPr>
        <w:t>C</w:t>
      </w:r>
      <w:r w:rsidR="00302A53" w:rsidRPr="00183860">
        <w:rPr>
          <w:rFonts w:asciiTheme="minorHAnsi" w:hAnsiTheme="minorHAnsi"/>
          <w:sz w:val="21"/>
          <w:szCs w:val="21"/>
        </w:rPr>
        <w:t xml:space="preserve">ertain taxpayers with audited financial statements </w:t>
      </w:r>
      <w:r>
        <w:rPr>
          <w:rFonts w:asciiTheme="minorHAnsi" w:hAnsiTheme="minorHAnsi"/>
          <w:sz w:val="21"/>
          <w:szCs w:val="21"/>
        </w:rPr>
        <w:t xml:space="preserve">needed </w:t>
      </w:r>
      <w:r w:rsidR="00302A53" w:rsidRPr="00183860">
        <w:rPr>
          <w:rFonts w:asciiTheme="minorHAnsi" w:hAnsiTheme="minorHAnsi"/>
          <w:sz w:val="21"/>
          <w:szCs w:val="21"/>
        </w:rPr>
        <w:t xml:space="preserve">written and communicated policies for capitalization in place prior to the </w:t>
      </w:r>
      <w:r w:rsidR="00507004" w:rsidRPr="00183860">
        <w:rPr>
          <w:rFonts w:asciiTheme="minorHAnsi" w:hAnsiTheme="minorHAnsi"/>
          <w:sz w:val="21"/>
          <w:szCs w:val="21"/>
        </w:rPr>
        <w:t>beginning</w:t>
      </w:r>
      <w:r w:rsidR="00302A53" w:rsidRPr="00183860">
        <w:rPr>
          <w:rFonts w:asciiTheme="minorHAnsi" w:hAnsiTheme="minorHAnsi"/>
          <w:sz w:val="21"/>
          <w:szCs w:val="21"/>
        </w:rPr>
        <w:t xml:space="preserve"> of this year. Going forward, taxpayers of all types and sizes will need to make various tax elections involving safe harbor and de </w:t>
      </w:r>
      <w:proofErr w:type="spellStart"/>
      <w:r w:rsidR="00302A53" w:rsidRPr="00183860">
        <w:rPr>
          <w:rFonts w:asciiTheme="minorHAnsi" w:hAnsiTheme="minorHAnsi"/>
          <w:sz w:val="21"/>
          <w:szCs w:val="21"/>
        </w:rPr>
        <w:t>mi</w:t>
      </w:r>
      <w:r w:rsidR="00507004" w:rsidRPr="00183860">
        <w:rPr>
          <w:rFonts w:asciiTheme="minorHAnsi" w:hAnsiTheme="minorHAnsi"/>
          <w:sz w:val="21"/>
          <w:szCs w:val="21"/>
        </w:rPr>
        <w:t>n</w:t>
      </w:r>
      <w:r w:rsidR="00302A53" w:rsidRPr="00183860">
        <w:rPr>
          <w:rFonts w:asciiTheme="minorHAnsi" w:hAnsiTheme="minorHAnsi"/>
          <w:sz w:val="21"/>
          <w:szCs w:val="21"/>
        </w:rPr>
        <w:t>imus</w:t>
      </w:r>
      <w:proofErr w:type="spellEnd"/>
      <w:r w:rsidR="00302A53" w:rsidRPr="00183860">
        <w:rPr>
          <w:rFonts w:asciiTheme="minorHAnsi" w:hAnsiTheme="minorHAnsi"/>
          <w:sz w:val="21"/>
          <w:szCs w:val="21"/>
        </w:rPr>
        <w:t xml:space="preserve"> rules. Also, the possibility exists that forms will need to be filed with the IRS to make changes to accounting methods previously used. Many of the changes are taxpayer-friendly and could result in lower tax liabilities, but every situation is different. </w:t>
      </w:r>
    </w:p>
    <w:p w:rsidR="00302A53" w:rsidRPr="00183860" w:rsidRDefault="00302A53" w:rsidP="00304666">
      <w:pPr>
        <w:rPr>
          <w:rFonts w:asciiTheme="minorHAnsi" w:hAnsiTheme="minorHAnsi"/>
          <w:sz w:val="21"/>
          <w:szCs w:val="21"/>
        </w:rPr>
      </w:pPr>
      <w:r w:rsidRPr="00183860">
        <w:rPr>
          <w:rFonts w:asciiTheme="minorHAnsi" w:hAnsiTheme="minorHAnsi"/>
          <w:sz w:val="21"/>
          <w:szCs w:val="21"/>
        </w:rPr>
        <w:t xml:space="preserve">If you </w:t>
      </w:r>
      <w:r w:rsidR="00507004" w:rsidRPr="00183860">
        <w:rPr>
          <w:rFonts w:asciiTheme="minorHAnsi" w:hAnsiTheme="minorHAnsi"/>
          <w:sz w:val="21"/>
          <w:szCs w:val="21"/>
        </w:rPr>
        <w:t>have</w:t>
      </w:r>
      <w:r w:rsidRPr="00183860">
        <w:rPr>
          <w:rFonts w:asciiTheme="minorHAnsi" w:hAnsiTheme="minorHAnsi"/>
          <w:sz w:val="21"/>
          <w:szCs w:val="21"/>
        </w:rPr>
        <w:t xml:space="preserve"> depreciable assets, </w:t>
      </w:r>
      <w:r w:rsidR="00507004" w:rsidRPr="00183860">
        <w:rPr>
          <w:rFonts w:asciiTheme="minorHAnsi" w:hAnsiTheme="minorHAnsi"/>
          <w:sz w:val="21"/>
          <w:szCs w:val="21"/>
        </w:rPr>
        <w:t>we</w:t>
      </w:r>
      <w:r w:rsidRPr="00183860">
        <w:rPr>
          <w:rFonts w:asciiTheme="minorHAnsi" w:hAnsiTheme="minorHAnsi"/>
          <w:sz w:val="21"/>
          <w:szCs w:val="21"/>
        </w:rPr>
        <w:t xml:space="preserve"> strongly recommended </w:t>
      </w:r>
      <w:r w:rsidR="00507004" w:rsidRPr="00183860">
        <w:rPr>
          <w:rFonts w:asciiTheme="minorHAnsi" w:hAnsiTheme="minorHAnsi"/>
          <w:sz w:val="21"/>
          <w:szCs w:val="21"/>
        </w:rPr>
        <w:t xml:space="preserve">that </w:t>
      </w:r>
      <w:r w:rsidR="00FC68F6">
        <w:rPr>
          <w:rFonts w:asciiTheme="minorHAnsi" w:hAnsiTheme="minorHAnsi"/>
          <w:sz w:val="21"/>
          <w:szCs w:val="21"/>
        </w:rPr>
        <w:t>we</w:t>
      </w:r>
      <w:r w:rsidR="00507004" w:rsidRPr="00183860">
        <w:rPr>
          <w:rFonts w:asciiTheme="minorHAnsi" w:hAnsiTheme="minorHAnsi"/>
          <w:sz w:val="21"/>
          <w:szCs w:val="21"/>
        </w:rPr>
        <w:t xml:space="preserve"> discuss the impact of these rules on your specific situation(s). C</w:t>
      </w:r>
      <w:r w:rsidRPr="00183860">
        <w:rPr>
          <w:rFonts w:asciiTheme="minorHAnsi" w:hAnsiTheme="minorHAnsi"/>
          <w:sz w:val="21"/>
          <w:szCs w:val="21"/>
        </w:rPr>
        <w:t xml:space="preserve">hanges to your chart of accounts or how you </w:t>
      </w:r>
      <w:r w:rsidR="00FC68F6">
        <w:rPr>
          <w:rFonts w:asciiTheme="minorHAnsi" w:hAnsiTheme="minorHAnsi"/>
          <w:sz w:val="21"/>
          <w:szCs w:val="21"/>
        </w:rPr>
        <w:t>r</w:t>
      </w:r>
      <w:r w:rsidRPr="00183860">
        <w:rPr>
          <w:rFonts w:asciiTheme="minorHAnsi" w:hAnsiTheme="minorHAnsi"/>
          <w:sz w:val="21"/>
          <w:szCs w:val="21"/>
        </w:rPr>
        <w:t xml:space="preserve">ecord </w:t>
      </w:r>
      <w:r w:rsidR="00507004" w:rsidRPr="00183860">
        <w:rPr>
          <w:rFonts w:asciiTheme="minorHAnsi" w:hAnsiTheme="minorHAnsi"/>
          <w:sz w:val="21"/>
          <w:szCs w:val="21"/>
        </w:rPr>
        <w:t xml:space="preserve">vendor </w:t>
      </w:r>
      <w:r w:rsidRPr="00183860">
        <w:rPr>
          <w:rFonts w:asciiTheme="minorHAnsi" w:hAnsiTheme="minorHAnsi"/>
          <w:sz w:val="21"/>
          <w:szCs w:val="21"/>
        </w:rPr>
        <w:t>invoice</w:t>
      </w:r>
      <w:r w:rsidR="00507004" w:rsidRPr="00183860">
        <w:rPr>
          <w:rFonts w:asciiTheme="minorHAnsi" w:hAnsiTheme="minorHAnsi"/>
          <w:sz w:val="21"/>
          <w:szCs w:val="21"/>
        </w:rPr>
        <w:t>s</w:t>
      </w:r>
      <w:r w:rsidRPr="00183860">
        <w:rPr>
          <w:rFonts w:asciiTheme="minorHAnsi" w:hAnsiTheme="minorHAnsi"/>
          <w:sz w:val="21"/>
          <w:szCs w:val="21"/>
        </w:rPr>
        <w:t xml:space="preserve"> may need to be made. </w:t>
      </w:r>
    </w:p>
    <w:p w:rsidR="00CD3340" w:rsidRPr="00183860" w:rsidRDefault="00507004" w:rsidP="00304666">
      <w:pPr>
        <w:spacing w:after="0"/>
        <w:contextualSpacing/>
        <w:jc w:val="center"/>
        <w:rPr>
          <w:b/>
          <w:i/>
          <w:color w:val="493D87"/>
          <w:sz w:val="32"/>
          <w:szCs w:val="32"/>
        </w:rPr>
      </w:pPr>
      <w:r w:rsidRPr="00183860">
        <w:rPr>
          <w:b/>
          <w:i/>
          <w:color w:val="493D87"/>
          <w:sz w:val="32"/>
          <w:szCs w:val="32"/>
        </w:rPr>
        <w:lastRenderedPageBreak/>
        <w:t>ACA</w:t>
      </w:r>
      <w:r w:rsidR="00CD3340" w:rsidRPr="00183860">
        <w:rPr>
          <w:b/>
          <w:i/>
          <w:color w:val="493D87"/>
          <w:sz w:val="32"/>
          <w:szCs w:val="32"/>
        </w:rPr>
        <w:t xml:space="preserve"> Impact </w:t>
      </w:r>
      <w:r w:rsidRPr="00183860">
        <w:rPr>
          <w:b/>
          <w:i/>
          <w:color w:val="493D87"/>
          <w:sz w:val="32"/>
          <w:szCs w:val="32"/>
        </w:rPr>
        <w:t>on</w:t>
      </w:r>
      <w:r w:rsidR="00CD3340" w:rsidRPr="00183860">
        <w:rPr>
          <w:b/>
          <w:i/>
          <w:color w:val="493D87"/>
          <w:sz w:val="32"/>
          <w:szCs w:val="32"/>
        </w:rPr>
        <w:t xml:space="preserve"> Employee Health Premiums </w:t>
      </w:r>
    </w:p>
    <w:p w:rsidR="00CD3340" w:rsidRPr="00986353" w:rsidRDefault="00CD3340" w:rsidP="00304666">
      <w:pPr>
        <w:spacing w:after="0"/>
        <w:contextualSpacing/>
        <w:jc w:val="center"/>
        <w:rPr>
          <w:b/>
          <w:i/>
          <w:color w:val="493D87"/>
          <w:sz w:val="12"/>
          <w:szCs w:val="12"/>
        </w:rPr>
      </w:pPr>
    </w:p>
    <w:p w:rsidR="00CD3340" w:rsidRPr="00183860" w:rsidRDefault="008744A7" w:rsidP="00304666">
      <w:pPr>
        <w:rPr>
          <w:sz w:val="21"/>
          <w:szCs w:val="21"/>
        </w:rPr>
      </w:pPr>
      <w:r>
        <w:rPr>
          <w:b/>
          <w:i/>
          <w:noProof/>
          <w:color w:val="493D87"/>
          <w:sz w:val="36"/>
          <w:szCs w:val="36"/>
        </w:rPr>
        <w:drawing>
          <wp:anchor distT="0" distB="0" distL="114300" distR="114300" simplePos="0" relativeHeight="251713536" behindDoc="0" locked="0" layoutInCell="1" allowOverlap="1" wp14:anchorId="301B7F88" wp14:editId="29F84419">
            <wp:simplePos x="0" y="0"/>
            <wp:positionH relativeFrom="margin">
              <wp:posOffset>4819650</wp:posOffset>
            </wp:positionH>
            <wp:positionV relativeFrom="margin">
              <wp:posOffset>647700</wp:posOffset>
            </wp:positionV>
            <wp:extent cx="1259205" cy="1390650"/>
            <wp:effectExtent l="0" t="0" r="0" b="0"/>
            <wp:wrapSquare wrapText="bothSides"/>
            <wp:docPr id="13" name="Picture 13" descr="C:\Users\ColeenK\AppData\Local\Microsoft\Windows\Temporary Internet Files\Content.IE5\0PATLX7B\MC9000568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eenK\AppData\Local\Microsoft\Windows\Temporary Internet Files\Content.IE5\0PATLX7B\MC90005687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205" cy="1390650"/>
                    </a:xfrm>
                    <a:prstGeom prst="rect">
                      <a:avLst/>
                    </a:prstGeom>
                    <a:noFill/>
                    <a:ln>
                      <a:noFill/>
                    </a:ln>
                  </pic:spPr>
                </pic:pic>
              </a:graphicData>
            </a:graphic>
          </wp:anchor>
        </w:drawing>
      </w:r>
      <w:r w:rsidR="00CD3340" w:rsidRPr="00183860">
        <w:rPr>
          <w:sz w:val="21"/>
          <w:szCs w:val="21"/>
        </w:rPr>
        <w:t>Since 1961, employers have been allowed to pay for or reimburse premiums for employees’ health insurance policies on a pre-tax basis.</w:t>
      </w:r>
    </w:p>
    <w:p w:rsidR="00CD3340" w:rsidRPr="00183860" w:rsidRDefault="00CD3340" w:rsidP="00304666">
      <w:pPr>
        <w:rPr>
          <w:sz w:val="21"/>
          <w:szCs w:val="21"/>
        </w:rPr>
      </w:pPr>
      <w:r w:rsidRPr="00183860">
        <w:rPr>
          <w:sz w:val="21"/>
          <w:szCs w:val="21"/>
        </w:rPr>
        <w:t xml:space="preserve">Effective for 2014, however, both IRS and Department of Labor have issued information making it clear that such premium subsidies will not comply with the Affordable Care Act (commonly known as </w:t>
      </w:r>
      <w:proofErr w:type="spellStart"/>
      <w:r w:rsidRPr="00183860">
        <w:rPr>
          <w:sz w:val="21"/>
          <w:szCs w:val="21"/>
        </w:rPr>
        <w:t>Obamacare</w:t>
      </w:r>
      <w:proofErr w:type="spellEnd"/>
      <w:r w:rsidRPr="00183860">
        <w:rPr>
          <w:sz w:val="21"/>
          <w:szCs w:val="21"/>
        </w:rPr>
        <w:t>).</w:t>
      </w:r>
    </w:p>
    <w:p w:rsidR="00CD3340" w:rsidRPr="00183860" w:rsidRDefault="00CD3340" w:rsidP="00304666">
      <w:pPr>
        <w:rPr>
          <w:sz w:val="21"/>
          <w:szCs w:val="21"/>
        </w:rPr>
      </w:pPr>
      <w:r w:rsidRPr="00183860">
        <w:rPr>
          <w:sz w:val="21"/>
          <w:szCs w:val="21"/>
        </w:rPr>
        <w:t xml:space="preserve">Employers may continue to pay for premiums, either by grossing up the employees’ wages or on an after-tax basis. These methods allow the individuals to obtain coverage through the much talked about </w:t>
      </w:r>
      <w:r w:rsidR="00507004" w:rsidRPr="00183860">
        <w:rPr>
          <w:sz w:val="21"/>
          <w:szCs w:val="21"/>
        </w:rPr>
        <w:t xml:space="preserve">state </w:t>
      </w:r>
      <w:r w:rsidRPr="00183860">
        <w:rPr>
          <w:sz w:val="21"/>
          <w:szCs w:val="21"/>
        </w:rPr>
        <w:t>exchanges.</w:t>
      </w:r>
    </w:p>
    <w:p w:rsidR="00CD3340" w:rsidRPr="00183860" w:rsidRDefault="00CD3340" w:rsidP="00304666">
      <w:pPr>
        <w:rPr>
          <w:sz w:val="21"/>
          <w:szCs w:val="21"/>
        </w:rPr>
      </w:pPr>
      <w:r w:rsidRPr="00183860">
        <w:rPr>
          <w:sz w:val="21"/>
          <w:szCs w:val="21"/>
        </w:rPr>
        <w:t xml:space="preserve">Alternatively, smaller employers (less than 50 full-time equivalent employees) may subsidize health plan </w:t>
      </w:r>
      <w:proofErr w:type="spellStart"/>
      <w:r w:rsidRPr="00183860">
        <w:rPr>
          <w:sz w:val="21"/>
          <w:szCs w:val="21"/>
        </w:rPr>
        <w:t>coverages</w:t>
      </w:r>
      <w:proofErr w:type="spellEnd"/>
      <w:r w:rsidRPr="00183860">
        <w:rPr>
          <w:sz w:val="21"/>
          <w:szCs w:val="21"/>
        </w:rPr>
        <w:t xml:space="preserve"> found through SHOP (Small Business Health Option Program</w:t>
      </w:r>
      <w:r w:rsidR="00507004" w:rsidRPr="00183860">
        <w:rPr>
          <w:sz w:val="21"/>
          <w:szCs w:val="21"/>
        </w:rPr>
        <w:t>)</w:t>
      </w:r>
      <w:r w:rsidRPr="00183860">
        <w:rPr>
          <w:sz w:val="21"/>
          <w:szCs w:val="21"/>
        </w:rPr>
        <w:t xml:space="preserve">. </w:t>
      </w:r>
    </w:p>
    <w:p w:rsidR="00CD3340" w:rsidRPr="00183860" w:rsidRDefault="00CD3340" w:rsidP="00304666">
      <w:pPr>
        <w:rPr>
          <w:sz w:val="21"/>
          <w:szCs w:val="21"/>
        </w:rPr>
      </w:pPr>
      <w:r w:rsidRPr="00183860">
        <w:rPr>
          <w:sz w:val="21"/>
          <w:szCs w:val="21"/>
        </w:rPr>
        <w:t>The excise tax penalty can be onerous - $100 per employee PER DAY for the period of non-compliance. The penalty could also be extended to covered spouses and dependents of the employee.</w:t>
      </w:r>
    </w:p>
    <w:p w:rsidR="00183860" w:rsidRPr="00183860" w:rsidRDefault="00183860" w:rsidP="00304666">
      <w:pPr>
        <w:spacing w:after="0"/>
        <w:contextualSpacing/>
        <w:jc w:val="center"/>
        <w:rPr>
          <w:b/>
          <w:i/>
          <w:color w:val="493D87"/>
          <w:sz w:val="32"/>
          <w:szCs w:val="32"/>
        </w:rPr>
      </w:pPr>
      <w:r w:rsidRPr="00183860">
        <w:rPr>
          <w:b/>
          <w:i/>
          <w:color w:val="493D87"/>
          <w:sz w:val="32"/>
          <w:szCs w:val="32"/>
        </w:rPr>
        <w:t>2014 Arizona Minimum Wage</w:t>
      </w:r>
    </w:p>
    <w:p w:rsidR="00183860" w:rsidRDefault="00183860" w:rsidP="00304666">
      <w:pPr>
        <w:spacing w:after="0"/>
        <w:rPr>
          <w:rFonts w:asciiTheme="minorHAnsi" w:hAnsiTheme="minorHAnsi"/>
          <w:sz w:val="12"/>
          <w:szCs w:val="12"/>
        </w:rPr>
      </w:pPr>
    </w:p>
    <w:p w:rsidR="00304666" w:rsidRDefault="00183860" w:rsidP="00304666">
      <w:pPr>
        <w:spacing w:after="0"/>
        <w:rPr>
          <w:rFonts w:asciiTheme="minorHAnsi" w:hAnsiTheme="minorHAnsi"/>
          <w:sz w:val="21"/>
          <w:szCs w:val="21"/>
        </w:rPr>
      </w:pPr>
      <w:r w:rsidRPr="00183860">
        <w:rPr>
          <w:rFonts w:asciiTheme="minorHAnsi" w:hAnsiTheme="minorHAnsi"/>
          <w:sz w:val="21"/>
          <w:szCs w:val="21"/>
        </w:rPr>
        <w:t>Effective January 1, 2014 Arizona’s minimum wage increase</w:t>
      </w:r>
      <w:r w:rsidR="0071619D">
        <w:rPr>
          <w:rFonts w:asciiTheme="minorHAnsi" w:hAnsiTheme="minorHAnsi"/>
          <w:sz w:val="21"/>
          <w:szCs w:val="21"/>
        </w:rPr>
        <w:t>d</w:t>
      </w:r>
      <w:r w:rsidRPr="00183860">
        <w:rPr>
          <w:rFonts w:asciiTheme="minorHAnsi" w:hAnsiTheme="minorHAnsi"/>
          <w:sz w:val="21"/>
          <w:szCs w:val="21"/>
        </w:rPr>
        <w:t xml:space="preserve"> from $7.80 per hour to $7.90 per hour. The wage for workers who receive tips increase</w:t>
      </w:r>
      <w:r w:rsidR="0071619D">
        <w:rPr>
          <w:rFonts w:asciiTheme="minorHAnsi" w:hAnsiTheme="minorHAnsi"/>
          <w:sz w:val="21"/>
          <w:szCs w:val="21"/>
        </w:rPr>
        <w:t>d</w:t>
      </w:r>
      <w:bookmarkStart w:id="0" w:name="_GoBack"/>
      <w:bookmarkEnd w:id="0"/>
      <w:r w:rsidRPr="00183860">
        <w:rPr>
          <w:rFonts w:asciiTheme="minorHAnsi" w:hAnsiTheme="minorHAnsi"/>
          <w:sz w:val="21"/>
          <w:szCs w:val="21"/>
        </w:rPr>
        <w:t xml:space="preserve"> from $4.80 per hour to $4.90 per hour.  The Industrial Commission of Arizona (ICA) is responsible for establishing the minimum wage annually. The ICA determines the amount by using the Consumer Price Index published by the U.S. Department of Labor to compare the cost of living increase for the sa</w:t>
      </w:r>
      <w:r w:rsidR="00304666">
        <w:rPr>
          <w:rFonts w:asciiTheme="minorHAnsi" w:hAnsiTheme="minorHAnsi"/>
          <w:sz w:val="21"/>
          <w:szCs w:val="21"/>
        </w:rPr>
        <w:t>me month over a two-year period.</w:t>
      </w:r>
    </w:p>
    <w:p w:rsidR="00FC68F6" w:rsidRDefault="00FC68F6" w:rsidP="00304666">
      <w:pPr>
        <w:spacing w:after="0"/>
        <w:rPr>
          <w:rFonts w:asciiTheme="minorHAnsi" w:hAnsiTheme="minorHAnsi"/>
          <w:sz w:val="21"/>
          <w:szCs w:val="21"/>
        </w:rPr>
      </w:pPr>
    </w:p>
    <w:p w:rsidR="00FC68F6" w:rsidRDefault="00FC68F6" w:rsidP="00304666">
      <w:pPr>
        <w:spacing w:after="0"/>
        <w:rPr>
          <w:rFonts w:asciiTheme="minorHAnsi" w:hAnsiTheme="minorHAnsi"/>
          <w:sz w:val="21"/>
          <w:szCs w:val="21"/>
        </w:rPr>
      </w:pPr>
    </w:p>
    <w:p w:rsidR="00FC68F6" w:rsidRPr="00304666" w:rsidRDefault="00FC68F6" w:rsidP="00304666">
      <w:pPr>
        <w:spacing w:after="0"/>
        <w:rPr>
          <w:rFonts w:asciiTheme="minorHAnsi" w:hAnsiTheme="minorHAnsi"/>
          <w:sz w:val="21"/>
          <w:szCs w:val="21"/>
        </w:rPr>
        <w:sectPr w:rsidR="00FC68F6" w:rsidRPr="00304666" w:rsidSect="00304666">
          <w:type w:val="continuous"/>
          <w:pgSz w:w="12240" w:h="15840" w:code="1"/>
          <w:pgMar w:top="990" w:right="1296" w:bottom="630" w:left="1296" w:header="720" w:footer="720" w:gutter="0"/>
          <w:pgBorders w:offsetFrom="page">
            <w:top w:val="single" w:sz="48" w:space="24" w:color="594183"/>
            <w:left w:val="single" w:sz="48" w:space="24" w:color="594183"/>
            <w:bottom w:val="single" w:sz="48" w:space="24" w:color="594183"/>
            <w:right w:val="single" w:sz="48" w:space="24" w:color="594183"/>
          </w:pgBorders>
          <w:cols w:num="2" w:space="720"/>
          <w:docGrid w:linePitch="360"/>
        </w:sectPr>
      </w:pPr>
    </w:p>
    <w:p w:rsidR="00921E89" w:rsidRDefault="00921E89" w:rsidP="00A95A20">
      <w:pPr>
        <w:jc w:val="left"/>
        <w:rPr>
          <w:b/>
          <w:i/>
          <w:color w:val="493D87"/>
          <w:sz w:val="36"/>
          <w:szCs w:val="36"/>
        </w:rPr>
      </w:pPr>
    </w:p>
    <w:sectPr w:rsidR="00921E89" w:rsidSect="00986353">
      <w:type w:val="continuous"/>
      <w:pgSz w:w="12240" w:h="15840" w:code="1"/>
      <w:pgMar w:top="1080" w:right="1296" w:bottom="720" w:left="1296" w:header="720" w:footer="720" w:gutter="0"/>
      <w:pgBorders w:offsetFrom="page">
        <w:top w:val="single" w:sz="48" w:space="24" w:color="594183"/>
        <w:left w:val="single" w:sz="48" w:space="24" w:color="594183"/>
        <w:bottom w:val="single" w:sz="48" w:space="24" w:color="594183"/>
        <w:right w:val="single" w:sz="48" w:space="24" w:color="594183"/>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39" w:rsidRDefault="00197339" w:rsidP="00E67549">
      <w:pPr>
        <w:spacing w:after="0" w:line="240" w:lineRule="auto"/>
      </w:pPr>
      <w:r>
        <w:separator/>
      </w:r>
    </w:p>
  </w:endnote>
  <w:endnote w:type="continuationSeparator" w:id="0">
    <w:p w:rsidR="00197339" w:rsidRDefault="00197339" w:rsidP="00E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39" w:rsidRDefault="00197339" w:rsidP="00E67549">
      <w:pPr>
        <w:spacing w:after="0" w:line="240" w:lineRule="auto"/>
      </w:pPr>
      <w:r>
        <w:separator/>
      </w:r>
    </w:p>
  </w:footnote>
  <w:footnote w:type="continuationSeparator" w:id="0">
    <w:p w:rsidR="00197339" w:rsidRDefault="00197339" w:rsidP="00E67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75pt;height:675.75pt;visibility:visible;mso-wrap-style:square" o:bullet="t">
        <v:imagedata r:id="rId1" o:title="MC910217033[1]"/>
      </v:shape>
    </w:pict>
  </w:numPicBullet>
  <w:abstractNum w:abstractNumId="0">
    <w:nsid w:val="07C40AB2"/>
    <w:multiLevelType w:val="hybridMultilevel"/>
    <w:tmpl w:val="4A78553C"/>
    <w:lvl w:ilvl="0" w:tplc="2E3C3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CD7B65"/>
    <w:multiLevelType w:val="hybridMultilevel"/>
    <w:tmpl w:val="CF3E3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D145B"/>
    <w:multiLevelType w:val="hybridMultilevel"/>
    <w:tmpl w:val="279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4889"/>
    <w:multiLevelType w:val="hybridMultilevel"/>
    <w:tmpl w:val="059A4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4381D"/>
    <w:multiLevelType w:val="hybridMultilevel"/>
    <w:tmpl w:val="EF7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B21E1"/>
    <w:multiLevelType w:val="multilevel"/>
    <w:tmpl w:val="BEC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F19A5"/>
    <w:multiLevelType w:val="hybridMultilevel"/>
    <w:tmpl w:val="274E5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678AC"/>
    <w:multiLevelType w:val="hybridMultilevel"/>
    <w:tmpl w:val="69D0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F25E0"/>
    <w:multiLevelType w:val="hybridMultilevel"/>
    <w:tmpl w:val="6890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75180"/>
    <w:multiLevelType w:val="hybridMultilevel"/>
    <w:tmpl w:val="36607B16"/>
    <w:lvl w:ilvl="0" w:tplc="A30C7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247810"/>
    <w:multiLevelType w:val="hybridMultilevel"/>
    <w:tmpl w:val="9474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3371BA"/>
    <w:multiLevelType w:val="hybridMultilevel"/>
    <w:tmpl w:val="9474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8219E"/>
    <w:multiLevelType w:val="hybridMultilevel"/>
    <w:tmpl w:val="A6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C44B8"/>
    <w:multiLevelType w:val="hybridMultilevel"/>
    <w:tmpl w:val="F5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0642F"/>
    <w:multiLevelType w:val="multilevel"/>
    <w:tmpl w:val="B6FC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44636"/>
    <w:multiLevelType w:val="hybridMultilevel"/>
    <w:tmpl w:val="AF8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57CDE"/>
    <w:multiLevelType w:val="hybridMultilevel"/>
    <w:tmpl w:val="2C8A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C26C3"/>
    <w:multiLevelType w:val="hybridMultilevel"/>
    <w:tmpl w:val="7FE4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0727"/>
    <w:multiLevelType w:val="hybridMultilevel"/>
    <w:tmpl w:val="0976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B11F7A"/>
    <w:multiLevelType w:val="hybridMultilevel"/>
    <w:tmpl w:val="943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35DD1"/>
    <w:multiLevelType w:val="hybridMultilevel"/>
    <w:tmpl w:val="BA4EB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00622"/>
    <w:multiLevelType w:val="multilevel"/>
    <w:tmpl w:val="F28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A5E8C"/>
    <w:multiLevelType w:val="hybridMultilevel"/>
    <w:tmpl w:val="CD16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486B29"/>
    <w:multiLevelType w:val="hybridMultilevel"/>
    <w:tmpl w:val="8D207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8680B"/>
    <w:multiLevelType w:val="hybridMultilevel"/>
    <w:tmpl w:val="FE5C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17CDB"/>
    <w:multiLevelType w:val="hybridMultilevel"/>
    <w:tmpl w:val="07A0E49E"/>
    <w:lvl w:ilvl="0" w:tplc="242AB0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3F60B2"/>
    <w:multiLevelType w:val="hybridMultilevel"/>
    <w:tmpl w:val="9002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D64FB"/>
    <w:multiLevelType w:val="hybridMultilevel"/>
    <w:tmpl w:val="7324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A4750"/>
    <w:multiLevelType w:val="hybridMultilevel"/>
    <w:tmpl w:val="1A0E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E4A4F"/>
    <w:multiLevelType w:val="hybridMultilevel"/>
    <w:tmpl w:val="B5DE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6536A"/>
    <w:multiLevelType w:val="hybridMultilevel"/>
    <w:tmpl w:val="7AD2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E03F7"/>
    <w:multiLevelType w:val="hybridMultilevel"/>
    <w:tmpl w:val="A7167D22"/>
    <w:lvl w:ilvl="0" w:tplc="070CD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AD151F"/>
    <w:multiLevelType w:val="hybridMultilevel"/>
    <w:tmpl w:val="0706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B574E"/>
    <w:multiLevelType w:val="hybridMultilevel"/>
    <w:tmpl w:val="07A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5091E"/>
    <w:multiLevelType w:val="hybridMultilevel"/>
    <w:tmpl w:val="F70E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A2621"/>
    <w:multiLevelType w:val="hybridMultilevel"/>
    <w:tmpl w:val="FF5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7"/>
  </w:num>
  <w:num w:numId="5">
    <w:abstractNumId w:val="26"/>
  </w:num>
  <w:num w:numId="6">
    <w:abstractNumId w:val="32"/>
  </w:num>
  <w:num w:numId="7">
    <w:abstractNumId w:val="2"/>
  </w:num>
  <w:num w:numId="8">
    <w:abstractNumId w:val="24"/>
  </w:num>
  <w:num w:numId="9">
    <w:abstractNumId w:val="19"/>
  </w:num>
  <w:num w:numId="10">
    <w:abstractNumId w:val="12"/>
  </w:num>
  <w:num w:numId="11">
    <w:abstractNumId w:val="20"/>
  </w:num>
  <w:num w:numId="12">
    <w:abstractNumId w:val="3"/>
  </w:num>
  <w:num w:numId="13">
    <w:abstractNumId w:val="23"/>
  </w:num>
  <w:num w:numId="14">
    <w:abstractNumId w:val="18"/>
  </w:num>
  <w:num w:numId="15">
    <w:abstractNumId w:val="29"/>
  </w:num>
  <w:num w:numId="16">
    <w:abstractNumId w:val="15"/>
  </w:num>
  <w:num w:numId="17">
    <w:abstractNumId w:val="1"/>
  </w:num>
  <w:num w:numId="18">
    <w:abstractNumId w:val="31"/>
  </w:num>
  <w:num w:numId="19">
    <w:abstractNumId w:val="11"/>
  </w:num>
  <w:num w:numId="20">
    <w:abstractNumId w:val="30"/>
  </w:num>
  <w:num w:numId="21">
    <w:abstractNumId w:val="13"/>
  </w:num>
  <w:num w:numId="22">
    <w:abstractNumId w:val="14"/>
  </w:num>
  <w:num w:numId="23">
    <w:abstractNumId w:val="21"/>
  </w:num>
  <w:num w:numId="24">
    <w:abstractNumId w:val="4"/>
  </w:num>
  <w:num w:numId="25">
    <w:abstractNumId w:val="10"/>
  </w:num>
  <w:num w:numId="26">
    <w:abstractNumId w:val="22"/>
  </w:num>
  <w:num w:numId="27">
    <w:abstractNumId w:val="17"/>
  </w:num>
  <w:num w:numId="28">
    <w:abstractNumId w:val="34"/>
  </w:num>
  <w:num w:numId="29">
    <w:abstractNumId w:val="6"/>
  </w:num>
  <w:num w:numId="30">
    <w:abstractNumId w:val="28"/>
  </w:num>
  <w:num w:numId="31">
    <w:abstractNumId w:val="8"/>
  </w:num>
  <w:num w:numId="32">
    <w:abstractNumId w:val="16"/>
  </w:num>
  <w:num w:numId="33">
    <w:abstractNumId w:val="33"/>
  </w:num>
  <w:num w:numId="34">
    <w:abstractNumId w:val="5"/>
  </w:num>
  <w:num w:numId="35">
    <w:abstractNumId w:val="2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7"/>
    <w:rsid w:val="00003E24"/>
    <w:rsid w:val="00005050"/>
    <w:rsid w:val="00010291"/>
    <w:rsid w:val="0001498F"/>
    <w:rsid w:val="000158E9"/>
    <w:rsid w:val="00015D30"/>
    <w:rsid w:val="0002274A"/>
    <w:rsid w:val="000241D8"/>
    <w:rsid w:val="00025306"/>
    <w:rsid w:val="000320FB"/>
    <w:rsid w:val="0003740B"/>
    <w:rsid w:val="00042D99"/>
    <w:rsid w:val="00043FC0"/>
    <w:rsid w:val="00047AC4"/>
    <w:rsid w:val="00056BCB"/>
    <w:rsid w:val="000652F6"/>
    <w:rsid w:val="00065A3D"/>
    <w:rsid w:val="00070409"/>
    <w:rsid w:val="00071A06"/>
    <w:rsid w:val="00071A3D"/>
    <w:rsid w:val="00071CA5"/>
    <w:rsid w:val="00073522"/>
    <w:rsid w:val="00074E72"/>
    <w:rsid w:val="00075CA5"/>
    <w:rsid w:val="00076EF8"/>
    <w:rsid w:val="00083547"/>
    <w:rsid w:val="000868D1"/>
    <w:rsid w:val="00087937"/>
    <w:rsid w:val="00091D20"/>
    <w:rsid w:val="00092881"/>
    <w:rsid w:val="00092CB0"/>
    <w:rsid w:val="0009340D"/>
    <w:rsid w:val="00095B74"/>
    <w:rsid w:val="00095ED6"/>
    <w:rsid w:val="000A29AD"/>
    <w:rsid w:val="000A7725"/>
    <w:rsid w:val="000B7F95"/>
    <w:rsid w:val="000C62AC"/>
    <w:rsid w:val="000D03F3"/>
    <w:rsid w:val="000D10F8"/>
    <w:rsid w:val="000D3B13"/>
    <w:rsid w:val="000D4334"/>
    <w:rsid w:val="000E1596"/>
    <w:rsid w:val="000E3DBC"/>
    <w:rsid w:val="000F256F"/>
    <w:rsid w:val="000F4E20"/>
    <w:rsid w:val="000F692A"/>
    <w:rsid w:val="00102513"/>
    <w:rsid w:val="00103865"/>
    <w:rsid w:val="001079DC"/>
    <w:rsid w:val="00110DE5"/>
    <w:rsid w:val="00124B8A"/>
    <w:rsid w:val="00125897"/>
    <w:rsid w:val="0013103D"/>
    <w:rsid w:val="001319DC"/>
    <w:rsid w:val="00133510"/>
    <w:rsid w:val="0013413D"/>
    <w:rsid w:val="00137218"/>
    <w:rsid w:val="001375EE"/>
    <w:rsid w:val="00140D70"/>
    <w:rsid w:val="00146D19"/>
    <w:rsid w:val="00150DE7"/>
    <w:rsid w:val="001556E1"/>
    <w:rsid w:val="001572E9"/>
    <w:rsid w:val="001641EE"/>
    <w:rsid w:val="001656EB"/>
    <w:rsid w:val="001721E8"/>
    <w:rsid w:val="00174CF8"/>
    <w:rsid w:val="001758DC"/>
    <w:rsid w:val="00183860"/>
    <w:rsid w:val="001905E3"/>
    <w:rsid w:val="00192983"/>
    <w:rsid w:val="00193F0C"/>
    <w:rsid w:val="0019590F"/>
    <w:rsid w:val="001966E1"/>
    <w:rsid w:val="00197339"/>
    <w:rsid w:val="001A0FF6"/>
    <w:rsid w:val="001A44A8"/>
    <w:rsid w:val="001B158A"/>
    <w:rsid w:val="001B4247"/>
    <w:rsid w:val="001B7682"/>
    <w:rsid w:val="001C5539"/>
    <w:rsid w:val="001C684E"/>
    <w:rsid w:val="001D15E5"/>
    <w:rsid w:val="001D2552"/>
    <w:rsid w:val="001D36FD"/>
    <w:rsid w:val="001D6573"/>
    <w:rsid w:val="001E1720"/>
    <w:rsid w:val="001E2F66"/>
    <w:rsid w:val="001F3C11"/>
    <w:rsid w:val="001F4D75"/>
    <w:rsid w:val="001F5DF9"/>
    <w:rsid w:val="001F6A7C"/>
    <w:rsid w:val="001F71AE"/>
    <w:rsid w:val="00202A92"/>
    <w:rsid w:val="002039D8"/>
    <w:rsid w:val="002051AE"/>
    <w:rsid w:val="00205C3A"/>
    <w:rsid w:val="00213B8F"/>
    <w:rsid w:val="002149BD"/>
    <w:rsid w:val="00220A02"/>
    <w:rsid w:val="00221BF0"/>
    <w:rsid w:val="00223B97"/>
    <w:rsid w:val="002323CA"/>
    <w:rsid w:val="002365A4"/>
    <w:rsid w:val="00236C88"/>
    <w:rsid w:val="00243AD9"/>
    <w:rsid w:val="00243C19"/>
    <w:rsid w:val="0024787B"/>
    <w:rsid w:val="00247FEE"/>
    <w:rsid w:val="002575BC"/>
    <w:rsid w:val="00263096"/>
    <w:rsid w:val="00267653"/>
    <w:rsid w:val="002723E3"/>
    <w:rsid w:val="00273871"/>
    <w:rsid w:val="00274DF0"/>
    <w:rsid w:val="00283B03"/>
    <w:rsid w:val="00284A22"/>
    <w:rsid w:val="00290851"/>
    <w:rsid w:val="00295C1A"/>
    <w:rsid w:val="002A1288"/>
    <w:rsid w:val="002A3751"/>
    <w:rsid w:val="002A7ABB"/>
    <w:rsid w:val="002B4828"/>
    <w:rsid w:val="002B654B"/>
    <w:rsid w:val="002C214E"/>
    <w:rsid w:val="002C28B7"/>
    <w:rsid w:val="002C2CCF"/>
    <w:rsid w:val="002C5951"/>
    <w:rsid w:val="002C6BB5"/>
    <w:rsid w:val="002D0EC4"/>
    <w:rsid w:val="002D3D9F"/>
    <w:rsid w:val="002D454F"/>
    <w:rsid w:val="002D6C33"/>
    <w:rsid w:val="002E4648"/>
    <w:rsid w:val="002E4C36"/>
    <w:rsid w:val="002E6DCA"/>
    <w:rsid w:val="002E7F09"/>
    <w:rsid w:val="002F3E30"/>
    <w:rsid w:val="00301D58"/>
    <w:rsid w:val="00302A53"/>
    <w:rsid w:val="00304666"/>
    <w:rsid w:val="00306FE4"/>
    <w:rsid w:val="0031114A"/>
    <w:rsid w:val="003125B2"/>
    <w:rsid w:val="00314DE5"/>
    <w:rsid w:val="00315ECC"/>
    <w:rsid w:val="00322054"/>
    <w:rsid w:val="003252EE"/>
    <w:rsid w:val="00326A19"/>
    <w:rsid w:val="00327EE1"/>
    <w:rsid w:val="0033546F"/>
    <w:rsid w:val="003379A5"/>
    <w:rsid w:val="00340D04"/>
    <w:rsid w:val="00343B15"/>
    <w:rsid w:val="00345AB1"/>
    <w:rsid w:val="00346BB8"/>
    <w:rsid w:val="003512E5"/>
    <w:rsid w:val="0035271F"/>
    <w:rsid w:val="003546C1"/>
    <w:rsid w:val="003548DD"/>
    <w:rsid w:val="00361218"/>
    <w:rsid w:val="00361434"/>
    <w:rsid w:val="00366E09"/>
    <w:rsid w:val="00371BE4"/>
    <w:rsid w:val="00383A0A"/>
    <w:rsid w:val="00384B43"/>
    <w:rsid w:val="00392F93"/>
    <w:rsid w:val="00396875"/>
    <w:rsid w:val="003A12F3"/>
    <w:rsid w:val="003A394D"/>
    <w:rsid w:val="003A3B57"/>
    <w:rsid w:val="003B240F"/>
    <w:rsid w:val="003B6557"/>
    <w:rsid w:val="003D0329"/>
    <w:rsid w:val="003D2017"/>
    <w:rsid w:val="003D2B77"/>
    <w:rsid w:val="003E0062"/>
    <w:rsid w:val="003E05E9"/>
    <w:rsid w:val="003E5556"/>
    <w:rsid w:val="003F24B3"/>
    <w:rsid w:val="003F43B9"/>
    <w:rsid w:val="003F5BE4"/>
    <w:rsid w:val="003F679E"/>
    <w:rsid w:val="003F6A8E"/>
    <w:rsid w:val="003F707D"/>
    <w:rsid w:val="00401101"/>
    <w:rsid w:val="00405E61"/>
    <w:rsid w:val="00426211"/>
    <w:rsid w:val="004318D8"/>
    <w:rsid w:val="00432548"/>
    <w:rsid w:val="0043580A"/>
    <w:rsid w:val="004438A2"/>
    <w:rsid w:val="0044678B"/>
    <w:rsid w:val="00447439"/>
    <w:rsid w:val="00451BF6"/>
    <w:rsid w:val="00453F13"/>
    <w:rsid w:val="004563DE"/>
    <w:rsid w:val="00461348"/>
    <w:rsid w:val="00461F94"/>
    <w:rsid w:val="00463839"/>
    <w:rsid w:val="00473B94"/>
    <w:rsid w:val="004751CB"/>
    <w:rsid w:val="004801D4"/>
    <w:rsid w:val="00480423"/>
    <w:rsid w:val="00480A70"/>
    <w:rsid w:val="0048115D"/>
    <w:rsid w:val="00483CFD"/>
    <w:rsid w:val="004846DC"/>
    <w:rsid w:val="00484806"/>
    <w:rsid w:val="004912D6"/>
    <w:rsid w:val="0049473A"/>
    <w:rsid w:val="004B03AC"/>
    <w:rsid w:val="004B588D"/>
    <w:rsid w:val="004D6545"/>
    <w:rsid w:val="004E0377"/>
    <w:rsid w:val="004E57CB"/>
    <w:rsid w:val="004E6375"/>
    <w:rsid w:val="004F16E8"/>
    <w:rsid w:val="004F53E0"/>
    <w:rsid w:val="004F5487"/>
    <w:rsid w:val="004F6240"/>
    <w:rsid w:val="00500E14"/>
    <w:rsid w:val="00502226"/>
    <w:rsid w:val="005057E8"/>
    <w:rsid w:val="00507004"/>
    <w:rsid w:val="0051050E"/>
    <w:rsid w:val="0051427A"/>
    <w:rsid w:val="00514C1B"/>
    <w:rsid w:val="00524EDD"/>
    <w:rsid w:val="005261B6"/>
    <w:rsid w:val="00531DEA"/>
    <w:rsid w:val="00534233"/>
    <w:rsid w:val="005367CC"/>
    <w:rsid w:val="00537563"/>
    <w:rsid w:val="00542B74"/>
    <w:rsid w:val="00543C32"/>
    <w:rsid w:val="00545134"/>
    <w:rsid w:val="00545223"/>
    <w:rsid w:val="00545EDE"/>
    <w:rsid w:val="00551B7D"/>
    <w:rsid w:val="00554A76"/>
    <w:rsid w:val="00564D26"/>
    <w:rsid w:val="00570BD4"/>
    <w:rsid w:val="00571CF9"/>
    <w:rsid w:val="00574BF3"/>
    <w:rsid w:val="0058636D"/>
    <w:rsid w:val="005920F4"/>
    <w:rsid w:val="005A0E91"/>
    <w:rsid w:val="005B4172"/>
    <w:rsid w:val="005B754B"/>
    <w:rsid w:val="005D1A96"/>
    <w:rsid w:val="005D2BA3"/>
    <w:rsid w:val="005D30DD"/>
    <w:rsid w:val="005D70D4"/>
    <w:rsid w:val="005E025B"/>
    <w:rsid w:val="005E4802"/>
    <w:rsid w:val="005E4841"/>
    <w:rsid w:val="005F4B66"/>
    <w:rsid w:val="00611204"/>
    <w:rsid w:val="006130A4"/>
    <w:rsid w:val="00614645"/>
    <w:rsid w:val="00615CE0"/>
    <w:rsid w:val="006161CA"/>
    <w:rsid w:val="006219DE"/>
    <w:rsid w:val="00625921"/>
    <w:rsid w:val="00630EEB"/>
    <w:rsid w:val="00631368"/>
    <w:rsid w:val="00631CE9"/>
    <w:rsid w:val="006343DE"/>
    <w:rsid w:val="00637353"/>
    <w:rsid w:val="006439C2"/>
    <w:rsid w:val="0065042F"/>
    <w:rsid w:val="00652960"/>
    <w:rsid w:val="0065420E"/>
    <w:rsid w:val="00655AB4"/>
    <w:rsid w:val="006573BB"/>
    <w:rsid w:val="00667708"/>
    <w:rsid w:val="006721CD"/>
    <w:rsid w:val="006746DB"/>
    <w:rsid w:val="006749D0"/>
    <w:rsid w:val="00677034"/>
    <w:rsid w:val="0068207E"/>
    <w:rsid w:val="006827C5"/>
    <w:rsid w:val="00685246"/>
    <w:rsid w:val="006911F2"/>
    <w:rsid w:val="00693F4C"/>
    <w:rsid w:val="00695D36"/>
    <w:rsid w:val="00695E5D"/>
    <w:rsid w:val="006A03D6"/>
    <w:rsid w:val="006A415E"/>
    <w:rsid w:val="006A5239"/>
    <w:rsid w:val="006B35B6"/>
    <w:rsid w:val="006B7D22"/>
    <w:rsid w:val="006C483A"/>
    <w:rsid w:val="006D0314"/>
    <w:rsid w:val="006D10A7"/>
    <w:rsid w:val="006D3129"/>
    <w:rsid w:val="006D5BF0"/>
    <w:rsid w:val="006D7079"/>
    <w:rsid w:val="006D7C29"/>
    <w:rsid w:val="006E6FA6"/>
    <w:rsid w:val="006E7E9A"/>
    <w:rsid w:val="006F41CC"/>
    <w:rsid w:val="00700F21"/>
    <w:rsid w:val="0070205E"/>
    <w:rsid w:val="0070444F"/>
    <w:rsid w:val="00711E9E"/>
    <w:rsid w:val="0071619D"/>
    <w:rsid w:val="007167C2"/>
    <w:rsid w:val="007173C0"/>
    <w:rsid w:val="00720C8B"/>
    <w:rsid w:val="00721B31"/>
    <w:rsid w:val="00731EC7"/>
    <w:rsid w:val="0073361F"/>
    <w:rsid w:val="00733B56"/>
    <w:rsid w:val="00733BC5"/>
    <w:rsid w:val="00736378"/>
    <w:rsid w:val="00736A34"/>
    <w:rsid w:val="0073719B"/>
    <w:rsid w:val="00743309"/>
    <w:rsid w:val="00750C06"/>
    <w:rsid w:val="007528BE"/>
    <w:rsid w:val="007533D1"/>
    <w:rsid w:val="00753B8D"/>
    <w:rsid w:val="00753BC9"/>
    <w:rsid w:val="00761090"/>
    <w:rsid w:val="00762984"/>
    <w:rsid w:val="00765092"/>
    <w:rsid w:val="00766F6A"/>
    <w:rsid w:val="00775DD6"/>
    <w:rsid w:val="007801A9"/>
    <w:rsid w:val="0078694F"/>
    <w:rsid w:val="00790B0A"/>
    <w:rsid w:val="00791AC2"/>
    <w:rsid w:val="00794983"/>
    <w:rsid w:val="00796DFB"/>
    <w:rsid w:val="007A06B7"/>
    <w:rsid w:val="007A0FD5"/>
    <w:rsid w:val="007A516E"/>
    <w:rsid w:val="007B1CF3"/>
    <w:rsid w:val="007B2418"/>
    <w:rsid w:val="007B309E"/>
    <w:rsid w:val="007C3AEA"/>
    <w:rsid w:val="007C7325"/>
    <w:rsid w:val="007C7C8D"/>
    <w:rsid w:val="007D463C"/>
    <w:rsid w:val="007D50EB"/>
    <w:rsid w:val="007E0D89"/>
    <w:rsid w:val="007E2540"/>
    <w:rsid w:val="007E2631"/>
    <w:rsid w:val="007E2F76"/>
    <w:rsid w:val="007E3330"/>
    <w:rsid w:val="007E59A8"/>
    <w:rsid w:val="007F0929"/>
    <w:rsid w:val="007F1A51"/>
    <w:rsid w:val="007F28D2"/>
    <w:rsid w:val="00800F4F"/>
    <w:rsid w:val="008104BE"/>
    <w:rsid w:val="00814372"/>
    <w:rsid w:val="00815A9E"/>
    <w:rsid w:val="00831936"/>
    <w:rsid w:val="008319B2"/>
    <w:rsid w:val="00841182"/>
    <w:rsid w:val="0085036D"/>
    <w:rsid w:val="008520C5"/>
    <w:rsid w:val="008536FE"/>
    <w:rsid w:val="00856C1A"/>
    <w:rsid w:val="0085704C"/>
    <w:rsid w:val="008574D4"/>
    <w:rsid w:val="00860EDF"/>
    <w:rsid w:val="00861DBE"/>
    <w:rsid w:val="0086390A"/>
    <w:rsid w:val="00864B66"/>
    <w:rsid w:val="00873F42"/>
    <w:rsid w:val="008744A7"/>
    <w:rsid w:val="0087575B"/>
    <w:rsid w:val="00882C10"/>
    <w:rsid w:val="00883D85"/>
    <w:rsid w:val="00884B82"/>
    <w:rsid w:val="0089067A"/>
    <w:rsid w:val="008955C7"/>
    <w:rsid w:val="008969D8"/>
    <w:rsid w:val="008A0CC1"/>
    <w:rsid w:val="008A27E4"/>
    <w:rsid w:val="008A4AAF"/>
    <w:rsid w:val="008B0AC2"/>
    <w:rsid w:val="008B24CE"/>
    <w:rsid w:val="008B5ACA"/>
    <w:rsid w:val="008C16FF"/>
    <w:rsid w:val="008C7BD7"/>
    <w:rsid w:val="008D4DD0"/>
    <w:rsid w:val="008D65CA"/>
    <w:rsid w:val="008E0ED6"/>
    <w:rsid w:val="008E0F16"/>
    <w:rsid w:val="008E58DD"/>
    <w:rsid w:val="008E62A0"/>
    <w:rsid w:val="008E6BD1"/>
    <w:rsid w:val="00912F4E"/>
    <w:rsid w:val="00915319"/>
    <w:rsid w:val="00921E89"/>
    <w:rsid w:val="00927AA5"/>
    <w:rsid w:val="009330C9"/>
    <w:rsid w:val="009339CE"/>
    <w:rsid w:val="00940D0E"/>
    <w:rsid w:val="00944F97"/>
    <w:rsid w:val="00945728"/>
    <w:rsid w:val="00951DC8"/>
    <w:rsid w:val="00953981"/>
    <w:rsid w:val="00953EAE"/>
    <w:rsid w:val="009546B8"/>
    <w:rsid w:val="00955E47"/>
    <w:rsid w:val="00957BB3"/>
    <w:rsid w:val="00963C91"/>
    <w:rsid w:val="00966F88"/>
    <w:rsid w:val="00967C1D"/>
    <w:rsid w:val="00976D8C"/>
    <w:rsid w:val="0098396E"/>
    <w:rsid w:val="00986353"/>
    <w:rsid w:val="00990CD9"/>
    <w:rsid w:val="00993D32"/>
    <w:rsid w:val="00996BBF"/>
    <w:rsid w:val="009A041C"/>
    <w:rsid w:val="009A3876"/>
    <w:rsid w:val="009A4C66"/>
    <w:rsid w:val="009A62AC"/>
    <w:rsid w:val="009A73A6"/>
    <w:rsid w:val="009B2034"/>
    <w:rsid w:val="009B4690"/>
    <w:rsid w:val="009D799D"/>
    <w:rsid w:val="009E1B84"/>
    <w:rsid w:val="009E25A6"/>
    <w:rsid w:val="009E2843"/>
    <w:rsid w:val="009E526B"/>
    <w:rsid w:val="009E6156"/>
    <w:rsid w:val="009E7484"/>
    <w:rsid w:val="009F04E2"/>
    <w:rsid w:val="009F580B"/>
    <w:rsid w:val="00A11592"/>
    <w:rsid w:val="00A1381D"/>
    <w:rsid w:val="00A15490"/>
    <w:rsid w:val="00A15FDD"/>
    <w:rsid w:val="00A2008F"/>
    <w:rsid w:val="00A21CDA"/>
    <w:rsid w:val="00A2276D"/>
    <w:rsid w:val="00A249B1"/>
    <w:rsid w:val="00A269F2"/>
    <w:rsid w:val="00A27BA2"/>
    <w:rsid w:val="00A40388"/>
    <w:rsid w:val="00A417CD"/>
    <w:rsid w:val="00A54703"/>
    <w:rsid w:val="00A57989"/>
    <w:rsid w:val="00A608FD"/>
    <w:rsid w:val="00A70530"/>
    <w:rsid w:val="00A7132C"/>
    <w:rsid w:val="00A73AE7"/>
    <w:rsid w:val="00A74BE0"/>
    <w:rsid w:val="00A83B54"/>
    <w:rsid w:val="00A83CAF"/>
    <w:rsid w:val="00A859D2"/>
    <w:rsid w:val="00A91BE0"/>
    <w:rsid w:val="00A95A20"/>
    <w:rsid w:val="00A97782"/>
    <w:rsid w:val="00AA18E4"/>
    <w:rsid w:val="00AA3822"/>
    <w:rsid w:val="00AA3A70"/>
    <w:rsid w:val="00AA45E7"/>
    <w:rsid w:val="00AA5429"/>
    <w:rsid w:val="00AA5CB2"/>
    <w:rsid w:val="00AA66D8"/>
    <w:rsid w:val="00AB048C"/>
    <w:rsid w:val="00AB0F1B"/>
    <w:rsid w:val="00AC0053"/>
    <w:rsid w:val="00AC4353"/>
    <w:rsid w:val="00AC5C62"/>
    <w:rsid w:val="00AC7050"/>
    <w:rsid w:val="00AD1480"/>
    <w:rsid w:val="00AD2287"/>
    <w:rsid w:val="00AE0B66"/>
    <w:rsid w:val="00AE4518"/>
    <w:rsid w:val="00AE716E"/>
    <w:rsid w:val="00AF034E"/>
    <w:rsid w:val="00AF3F5E"/>
    <w:rsid w:val="00AF44BB"/>
    <w:rsid w:val="00AF510F"/>
    <w:rsid w:val="00B025A6"/>
    <w:rsid w:val="00B1012D"/>
    <w:rsid w:val="00B116F4"/>
    <w:rsid w:val="00B1171D"/>
    <w:rsid w:val="00B216F8"/>
    <w:rsid w:val="00B2274E"/>
    <w:rsid w:val="00B234DC"/>
    <w:rsid w:val="00B25B3D"/>
    <w:rsid w:val="00B270F2"/>
    <w:rsid w:val="00B306D9"/>
    <w:rsid w:val="00B33D6B"/>
    <w:rsid w:val="00B3543F"/>
    <w:rsid w:val="00B37CE0"/>
    <w:rsid w:val="00B4337E"/>
    <w:rsid w:val="00B4727B"/>
    <w:rsid w:val="00B5065B"/>
    <w:rsid w:val="00B50F96"/>
    <w:rsid w:val="00B51043"/>
    <w:rsid w:val="00B51F78"/>
    <w:rsid w:val="00B55898"/>
    <w:rsid w:val="00B558BA"/>
    <w:rsid w:val="00B62B2D"/>
    <w:rsid w:val="00B64026"/>
    <w:rsid w:val="00B760BD"/>
    <w:rsid w:val="00B77652"/>
    <w:rsid w:val="00B836C2"/>
    <w:rsid w:val="00BA2399"/>
    <w:rsid w:val="00BA6DA0"/>
    <w:rsid w:val="00BA7DAF"/>
    <w:rsid w:val="00BB0687"/>
    <w:rsid w:val="00BB1581"/>
    <w:rsid w:val="00BB6F80"/>
    <w:rsid w:val="00BC0587"/>
    <w:rsid w:val="00BD2909"/>
    <w:rsid w:val="00BD29ED"/>
    <w:rsid w:val="00BD2E61"/>
    <w:rsid w:val="00BD578B"/>
    <w:rsid w:val="00BD61A2"/>
    <w:rsid w:val="00BD768C"/>
    <w:rsid w:val="00BD7D8D"/>
    <w:rsid w:val="00BE0093"/>
    <w:rsid w:val="00BE0341"/>
    <w:rsid w:val="00BE2244"/>
    <w:rsid w:val="00BE4CE9"/>
    <w:rsid w:val="00BE52EA"/>
    <w:rsid w:val="00BE7BB2"/>
    <w:rsid w:val="00BF531A"/>
    <w:rsid w:val="00BF5769"/>
    <w:rsid w:val="00BF5CE7"/>
    <w:rsid w:val="00BF7490"/>
    <w:rsid w:val="00BF7E83"/>
    <w:rsid w:val="00C0194F"/>
    <w:rsid w:val="00C06241"/>
    <w:rsid w:val="00C071B9"/>
    <w:rsid w:val="00C2236D"/>
    <w:rsid w:val="00C25D5D"/>
    <w:rsid w:val="00C264D1"/>
    <w:rsid w:val="00C26BF4"/>
    <w:rsid w:val="00C26F4A"/>
    <w:rsid w:val="00C30268"/>
    <w:rsid w:val="00C323CA"/>
    <w:rsid w:val="00C35A83"/>
    <w:rsid w:val="00C366E6"/>
    <w:rsid w:val="00C37454"/>
    <w:rsid w:val="00C4013E"/>
    <w:rsid w:val="00C46049"/>
    <w:rsid w:val="00C53291"/>
    <w:rsid w:val="00C548F2"/>
    <w:rsid w:val="00C56DBE"/>
    <w:rsid w:val="00C6061C"/>
    <w:rsid w:val="00C61184"/>
    <w:rsid w:val="00C63A33"/>
    <w:rsid w:val="00C63AEF"/>
    <w:rsid w:val="00C63E65"/>
    <w:rsid w:val="00C64D69"/>
    <w:rsid w:val="00C65384"/>
    <w:rsid w:val="00C65513"/>
    <w:rsid w:val="00C70255"/>
    <w:rsid w:val="00C71261"/>
    <w:rsid w:val="00C7335C"/>
    <w:rsid w:val="00C7588C"/>
    <w:rsid w:val="00C777BD"/>
    <w:rsid w:val="00C87394"/>
    <w:rsid w:val="00C87B8D"/>
    <w:rsid w:val="00C9103A"/>
    <w:rsid w:val="00C928AA"/>
    <w:rsid w:val="00C9487D"/>
    <w:rsid w:val="00C94B94"/>
    <w:rsid w:val="00CA0832"/>
    <w:rsid w:val="00CA3AFA"/>
    <w:rsid w:val="00CA50EE"/>
    <w:rsid w:val="00CA75B4"/>
    <w:rsid w:val="00CB0E0C"/>
    <w:rsid w:val="00CB2EDB"/>
    <w:rsid w:val="00CB35D8"/>
    <w:rsid w:val="00CB3AE4"/>
    <w:rsid w:val="00CC0201"/>
    <w:rsid w:val="00CD0134"/>
    <w:rsid w:val="00CD03E2"/>
    <w:rsid w:val="00CD3340"/>
    <w:rsid w:val="00CD64A2"/>
    <w:rsid w:val="00CE1112"/>
    <w:rsid w:val="00CE7A94"/>
    <w:rsid w:val="00CF5F57"/>
    <w:rsid w:val="00CF732E"/>
    <w:rsid w:val="00D02894"/>
    <w:rsid w:val="00D168E1"/>
    <w:rsid w:val="00D3054E"/>
    <w:rsid w:val="00D3354C"/>
    <w:rsid w:val="00D33D40"/>
    <w:rsid w:val="00D36B8D"/>
    <w:rsid w:val="00D376F5"/>
    <w:rsid w:val="00D507A4"/>
    <w:rsid w:val="00D52D92"/>
    <w:rsid w:val="00D56578"/>
    <w:rsid w:val="00D57812"/>
    <w:rsid w:val="00D67EE4"/>
    <w:rsid w:val="00D757D2"/>
    <w:rsid w:val="00D75CAB"/>
    <w:rsid w:val="00D77192"/>
    <w:rsid w:val="00D836F9"/>
    <w:rsid w:val="00D849AC"/>
    <w:rsid w:val="00D86FFF"/>
    <w:rsid w:val="00DA0FCC"/>
    <w:rsid w:val="00DA358F"/>
    <w:rsid w:val="00DA4830"/>
    <w:rsid w:val="00DB5EDD"/>
    <w:rsid w:val="00DC334D"/>
    <w:rsid w:val="00DC513B"/>
    <w:rsid w:val="00DC6E8E"/>
    <w:rsid w:val="00DC7F39"/>
    <w:rsid w:val="00DD082E"/>
    <w:rsid w:val="00DE3F3F"/>
    <w:rsid w:val="00DF2807"/>
    <w:rsid w:val="00DF61C9"/>
    <w:rsid w:val="00E0131E"/>
    <w:rsid w:val="00E034AB"/>
    <w:rsid w:val="00E06095"/>
    <w:rsid w:val="00E066FB"/>
    <w:rsid w:val="00E125CF"/>
    <w:rsid w:val="00E14700"/>
    <w:rsid w:val="00E14E88"/>
    <w:rsid w:val="00E16A0B"/>
    <w:rsid w:val="00E173E4"/>
    <w:rsid w:val="00E27847"/>
    <w:rsid w:val="00E306BE"/>
    <w:rsid w:val="00E340E5"/>
    <w:rsid w:val="00E34942"/>
    <w:rsid w:val="00E44DB3"/>
    <w:rsid w:val="00E450A4"/>
    <w:rsid w:val="00E452A5"/>
    <w:rsid w:val="00E45E58"/>
    <w:rsid w:val="00E46920"/>
    <w:rsid w:val="00E47071"/>
    <w:rsid w:val="00E511BD"/>
    <w:rsid w:val="00E513A6"/>
    <w:rsid w:val="00E52336"/>
    <w:rsid w:val="00E562DB"/>
    <w:rsid w:val="00E61560"/>
    <w:rsid w:val="00E66077"/>
    <w:rsid w:val="00E67549"/>
    <w:rsid w:val="00E72E25"/>
    <w:rsid w:val="00E772E6"/>
    <w:rsid w:val="00E809AA"/>
    <w:rsid w:val="00E81196"/>
    <w:rsid w:val="00E85121"/>
    <w:rsid w:val="00E85FA1"/>
    <w:rsid w:val="00E872F4"/>
    <w:rsid w:val="00E95161"/>
    <w:rsid w:val="00E95A24"/>
    <w:rsid w:val="00EA5AF4"/>
    <w:rsid w:val="00EA5F48"/>
    <w:rsid w:val="00EB3133"/>
    <w:rsid w:val="00EB59FE"/>
    <w:rsid w:val="00EC060B"/>
    <w:rsid w:val="00EC210D"/>
    <w:rsid w:val="00EC3044"/>
    <w:rsid w:val="00EC724C"/>
    <w:rsid w:val="00EC7D26"/>
    <w:rsid w:val="00ED52A1"/>
    <w:rsid w:val="00EE189D"/>
    <w:rsid w:val="00EE34D2"/>
    <w:rsid w:val="00EF13FF"/>
    <w:rsid w:val="00EF6C19"/>
    <w:rsid w:val="00F01FBB"/>
    <w:rsid w:val="00F04BED"/>
    <w:rsid w:val="00F126E6"/>
    <w:rsid w:val="00F13A5B"/>
    <w:rsid w:val="00F171A9"/>
    <w:rsid w:val="00F42BC3"/>
    <w:rsid w:val="00F57766"/>
    <w:rsid w:val="00F66CDA"/>
    <w:rsid w:val="00F703D0"/>
    <w:rsid w:val="00F714F7"/>
    <w:rsid w:val="00F72F45"/>
    <w:rsid w:val="00F7357C"/>
    <w:rsid w:val="00F77E99"/>
    <w:rsid w:val="00F77F2B"/>
    <w:rsid w:val="00F90321"/>
    <w:rsid w:val="00F9035E"/>
    <w:rsid w:val="00F97601"/>
    <w:rsid w:val="00FA0F2B"/>
    <w:rsid w:val="00FA29D9"/>
    <w:rsid w:val="00FA3A46"/>
    <w:rsid w:val="00FB49B5"/>
    <w:rsid w:val="00FC09E2"/>
    <w:rsid w:val="00FC235A"/>
    <w:rsid w:val="00FC68F6"/>
    <w:rsid w:val="00FD04A6"/>
    <w:rsid w:val="00FD2EC8"/>
    <w:rsid w:val="00FD303F"/>
    <w:rsid w:val="00FD40E9"/>
    <w:rsid w:val="00FD6D41"/>
    <w:rsid w:val="00FE35C9"/>
    <w:rsid w:val="00FE4D70"/>
    <w:rsid w:val="00FF3766"/>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fessional">
    <w:name w:val="Title - Professional"/>
    <w:basedOn w:val="Normal"/>
    <w:rsid w:val="004F5487"/>
    <w:pPr>
      <w:pBdr>
        <w:top w:val="single" w:sz="36" w:space="1" w:color="000080"/>
        <w:left w:val="single" w:sz="6" w:space="4" w:color="000080"/>
        <w:bottom w:val="single" w:sz="6" w:space="1" w:color="000080"/>
        <w:right w:val="single" w:sz="6" w:space="4" w:color="000080"/>
      </w:pBdr>
      <w:jc w:val="center"/>
    </w:pPr>
    <w:rPr>
      <w:rFonts w:ascii="Arial Black" w:eastAsia="Times New Roman" w:hAnsi="Arial Black"/>
      <w:color w:val="000080"/>
      <w:sz w:val="144"/>
      <w:lang w:bidi="en-US"/>
    </w:rPr>
  </w:style>
  <w:style w:type="paragraph" w:styleId="BalloonText">
    <w:name w:val="Balloon Text"/>
    <w:basedOn w:val="Normal"/>
    <w:link w:val="BalloonTextChar"/>
    <w:uiPriority w:val="99"/>
    <w:semiHidden/>
    <w:unhideWhenUsed/>
    <w:rsid w:val="004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7"/>
    <w:rPr>
      <w:rFonts w:ascii="Tahoma" w:hAnsi="Tahoma" w:cs="Tahoma"/>
      <w:sz w:val="16"/>
      <w:szCs w:val="16"/>
    </w:rPr>
  </w:style>
  <w:style w:type="table" w:styleId="TableGrid">
    <w:name w:val="Table Grid"/>
    <w:basedOn w:val="TableNormal"/>
    <w:uiPriority w:val="59"/>
    <w:rsid w:val="004F5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63C91"/>
    <w:rPr>
      <w:color w:val="0000FF"/>
      <w:u w:val="single"/>
    </w:rPr>
  </w:style>
  <w:style w:type="character" w:styleId="FollowedHyperlink">
    <w:name w:val="FollowedHyperlink"/>
    <w:basedOn w:val="DefaultParagraphFont"/>
    <w:uiPriority w:val="99"/>
    <w:semiHidden/>
    <w:unhideWhenUsed/>
    <w:rsid w:val="00B33D6B"/>
    <w:rPr>
      <w:color w:val="800080"/>
      <w:u w:val="single"/>
    </w:rPr>
  </w:style>
  <w:style w:type="paragraph" w:styleId="DocumentMap">
    <w:name w:val="Document Map"/>
    <w:basedOn w:val="Normal"/>
    <w:link w:val="DocumentMapChar"/>
    <w:uiPriority w:val="99"/>
    <w:semiHidden/>
    <w:unhideWhenUsed/>
    <w:rsid w:val="00631C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CE9"/>
    <w:rPr>
      <w:rFonts w:ascii="Tahoma" w:hAnsi="Tahoma" w:cs="Tahoma"/>
      <w:sz w:val="16"/>
      <w:szCs w:val="16"/>
    </w:rPr>
  </w:style>
  <w:style w:type="paragraph" w:styleId="Header">
    <w:name w:val="header"/>
    <w:basedOn w:val="Normal"/>
    <w:link w:val="HeaderChar"/>
    <w:uiPriority w:val="99"/>
    <w:unhideWhenUsed/>
    <w:rsid w:val="00E6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49"/>
    <w:rPr>
      <w:sz w:val="22"/>
      <w:szCs w:val="22"/>
    </w:rPr>
  </w:style>
  <w:style w:type="paragraph" w:styleId="Footer">
    <w:name w:val="footer"/>
    <w:basedOn w:val="Normal"/>
    <w:link w:val="FooterChar"/>
    <w:uiPriority w:val="99"/>
    <w:unhideWhenUsed/>
    <w:rsid w:val="00E6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49"/>
    <w:rPr>
      <w:sz w:val="22"/>
      <w:szCs w:val="22"/>
    </w:rPr>
  </w:style>
  <w:style w:type="paragraph" w:styleId="BodyText">
    <w:name w:val="Body Text"/>
    <w:basedOn w:val="Normal"/>
    <w:link w:val="BodyTextChar"/>
    <w:semiHidden/>
    <w:rsid w:val="00884B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84B82"/>
    <w:rPr>
      <w:rFonts w:ascii="Times New Roman" w:eastAsia="Times New Roman" w:hAnsi="Times New Roman"/>
      <w:sz w:val="24"/>
    </w:rPr>
  </w:style>
  <w:style w:type="paragraph" w:styleId="NormalWeb">
    <w:name w:val="Normal (Web)"/>
    <w:basedOn w:val="Normal"/>
    <w:uiPriority w:val="99"/>
    <w:unhideWhenUsed/>
    <w:rsid w:val="00CA75B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A75B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E7484"/>
    <w:rPr>
      <w:b/>
      <w:bCs/>
    </w:rPr>
  </w:style>
  <w:style w:type="paragraph" w:styleId="ListParagraph">
    <w:name w:val="List Paragraph"/>
    <w:basedOn w:val="Normal"/>
    <w:uiPriority w:val="34"/>
    <w:qFormat/>
    <w:rsid w:val="007B1CF3"/>
    <w:pPr>
      <w:ind w:left="720"/>
      <w:contextualSpacing/>
    </w:pPr>
  </w:style>
  <w:style w:type="paragraph" w:styleId="NoSpacing">
    <w:name w:val="No Spacing"/>
    <w:uiPriority w:val="1"/>
    <w:qFormat/>
    <w:rsid w:val="008E62A0"/>
    <w:rPr>
      <w:sz w:val="22"/>
      <w:szCs w:val="22"/>
    </w:rPr>
  </w:style>
  <w:style w:type="character" w:styleId="Emphasis">
    <w:name w:val="Emphasis"/>
    <w:basedOn w:val="DefaultParagraphFont"/>
    <w:uiPriority w:val="20"/>
    <w:qFormat/>
    <w:rsid w:val="00B116F4"/>
    <w:rPr>
      <w:i/>
      <w:iCs/>
    </w:rPr>
  </w:style>
  <w:style w:type="character" w:styleId="CommentReference">
    <w:name w:val="annotation reference"/>
    <w:basedOn w:val="DefaultParagraphFont"/>
    <w:uiPriority w:val="99"/>
    <w:semiHidden/>
    <w:unhideWhenUsed/>
    <w:rsid w:val="006E7E9A"/>
    <w:rPr>
      <w:sz w:val="16"/>
      <w:szCs w:val="16"/>
    </w:rPr>
  </w:style>
  <w:style w:type="paragraph" w:styleId="CommentText">
    <w:name w:val="annotation text"/>
    <w:basedOn w:val="Normal"/>
    <w:link w:val="CommentTextChar"/>
    <w:uiPriority w:val="99"/>
    <w:semiHidden/>
    <w:unhideWhenUsed/>
    <w:rsid w:val="006E7E9A"/>
    <w:pPr>
      <w:spacing w:line="240" w:lineRule="auto"/>
    </w:pPr>
    <w:rPr>
      <w:sz w:val="20"/>
      <w:szCs w:val="20"/>
    </w:rPr>
  </w:style>
  <w:style w:type="character" w:customStyle="1" w:styleId="CommentTextChar">
    <w:name w:val="Comment Text Char"/>
    <w:basedOn w:val="DefaultParagraphFont"/>
    <w:link w:val="CommentText"/>
    <w:uiPriority w:val="99"/>
    <w:semiHidden/>
    <w:rsid w:val="006E7E9A"/>
  </w:style>
  <w:style w:type="paragraph" w:styleId="CommentSubject">
    <w:name w:val="annotation subject"/>
    <w:basedOn w:val="CommentText"/>
    <w:next w:val="CommentText"/>
    <w:link w:val="CommentSubjectChar"/>
    <w:uiPriority w:val="99"/>
    <w:semiHidden/>
    <w:unhideWhenUsed/>
    <w:rsid w:val="006E7E9A"/>
    <w:rPr>
      <w:b/>
      <w:bCs/>
    </w:rPr>
  </w:style>
  <w:style w:type="character" w:customStyle="1" w:styleId="CommentSubjectChar">
    <w:name w:val="Comment Subject Char"/>
    <w:basedOn w:val="CommentTextChar"/>
    <w:link w:val="CommentSubject"/>
    <w:uiPriority w:val="99"/>
    <w:semiHidden/>
    <w:rsid w:val="006E7E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fessional">
    <w:name w:val="Title - Professional"/>
    <w:basedOn w:val="Normal"/>
    <w:rsid w:val="004F5487"/>
    <w:pPr>
      <w:pBdr>
        <w:top w:val="single" w:sz="36" w:space="1" w:color="000080"/>
        <w:left w:val="single" w:sz="6" w:space="4" w:color="000080"/>
        <w:bottom w:val="single" w:sz="6" w:space="1" w:color="000080"/>
        <w:right w:val="single" w:sz="6" w:space="4" w:color="000080"/>
      </w:pBdr>
      <w:jc w:val="center"/>
    </w:pPr>
    <w:rPr>
      <w:rFonts w:ascii="Arial Black" w:eastAsia="Times New Roman" w:hAnsi="Arial Black"/>
      <w:color w:val="000080"/>
      <w:sz w:val="144"/>
      <w:lang w:bidi="en-US"/>
    </w:rPr>
  </w:style>
  <w:style w:type="paragraph" w:styleId="BalloonText">
    <w:name w:val="Balloon Text"/>
    <w:basedOn w:val="Normal"/>
    <w:link w:val="BalloonTextChar"/>
    <w:uiPriority w:val="99"/>
    <w:semiHidden/>
    <w:unhideWhenUsed/>
    <w:rsid w:val="004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7"/>
    <w:rPr>
      <w:rFonts w:ascii="Tahoma" w:hAnsi="Tahoma" w:cs="Tahoma"/>
      <w:sz w:val="16"/>
      <w:szCs w:val="16"/>
    </w:rPr>
  </w:style>
  <w:style w:type="table" w:styleId="TableGrid">
    <w:name w:val="Table Grid"/>
    <w:basedOn w:val="TableNormal"/>
    <w:uiPriority w:val="59"/>
    <w:rsid w:val="004F5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63C91"/>
    <w:rPr>
      <w:color w:val="0000FF"/>
      <w:u w:val="single"/>
    </w:rPr>
  </w:style>
  <w:style w:type="character" w:styleId="FollowedHyperlink">
    <w:name w:val="FollowedHyperlink"/>
    <w:basedOn w:val="DefaultParagraphFont"/>
    <w:uiPriority w:val="99"/>
    <w:semiHidden/>
    <w:unhideWhenUsed/>
    <w:rsid w:val="00B33D6B"/>
    <w:rPr>
      <w:color w:val="800080"/>
      <w:u w:val="single"/>
    </w:rPr>
  </w:style>
  <w:style w:type="paragraph" w:styleId="DocumentMap">
    <w:name w:val="Document Map"/>
    <w:basedOn w:val="Normal"/>
    <w:link w:val="DocumentMapChar"/>
    <w:uiPriority w:val="99"/>
    <w:semiHidden/>
    <w:unhideWhenUsed/>
    <w:rsid w:val="00631C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CE9"/>
    <w:rPr>
      <w:rFonts w:ascii="Tahoma" w:hAnsi="Tahoma" w:cs="Tahoma"/>
      <w:sz w:val="16"/>
      <w:szCs w:val="16"/>
    </w:rPr>
  </w:style>
  <w:style w:type="paragraph" w:styleId="Header">
    <w:name w:val="header"/>
    <w:basedOn w:val="Normal"/>
    <w:link w:val="HeaderChar"/>
    <w:uiPriority w:val="99"/>
    <w:unhideWhenUsed/>
    <w:rsid w:val="00E6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49"/>
    <w:rPr>
      <w:sz w:val="22"/>
      <w:szCs w:val="22"/>
    </w:rPr>
  </w:style>
  <w:style w:type="paragraph" w:styleId="Footer">
    <w:name w:val="footer"/>
    <w:basedOn w:val="Normal"/>
    <w:link w:val="FooterChar"/>
    <w:uiPriority w:val="99"/>
    <w:unhideWhenUsed/>
    <w:rsid w:val="00E6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49"/>
    <w:rPr>
      <w:sz w:val="22"/>
      <w:szCs w:val="22"/>
    </w:rPr>
  </w:style>
  <w:style w:type="paragraph" w:styleId="BodyText">
    <w:name w:val="Body Text"/>
    <w:basedOn w:val="Normal"/>
    <w:link w:val="BodyTextChar"/>
    <w:semiHidden/>
    <w:rsid w:val="00884B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84B82"/>
    <w:rPr>
      <w:rFonts w:ascii="Times New Roman" w:eastAsia="Times New Roman" w:hAnsi="Times New Roman"/>
      <w:sz w:val="24"/>
    </w:rPr>
  </w:style>
  <w:style w:type="paragraph" w:styleId="NormalWeb">
    <w:name w:val="Normal (Web)"/>
    <w:basedOn w:val="Normal"/>
    <w:uiPriority w:val="99"/>
    <w:unhideWhenUsed/>
    <w:rsid w:val="00CA75B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A75B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E7484"/>
    <w:rPr>
      <w:b/>
      <w:bCs/>
    </w:rPr>
  </w:style>
  <w:style w:type="paragraph" w:styleId="ListParagraph">
    <w:name w:val="List Paragraph"/>
    <w:basedOn w:val="Normal"/>
    <w:uiPriority w:val="34"/>
    <w:qFormat/>
    <w:rsid w:val="007B1CF3"/>
    <w:pPr>
      <w:ind w:left="720"/>
      <w:contextualSpacing/>
    </w:pPr>
  </w:style>
  <w:style w:type="paragraph" w:styleId="NoSpacing">
    <w:name w:val="No Spacing"/>
    <w:uiPriority w:val="1"/>
    <w:qFormat/>
    <w:rsid w:val="008E62A0"/>
    <w:rPr>
      <w:sz w:val="22"/>
      <w:szCs w:val="22"/>
    </w:rPr>
  </w:style>
  <w:style w:type="character" w:styleId="Emphasis">
    <w:name w:val="Emphasis"/>
    <w:basedOn w:val="DefaultParagraphFont"/>
    <w:uiPriority w:val="20"/>
    <w:qFormat/>
    <w:rsid w:val="00B116F4"/>
    <w:rPr>
      <w:i/>
      <w:iCs/>
    </w:rPr>
  </w:style>
  <w:style w:type="character" w:styleId="CommentReference">
    <w:name w:val="annotation reference"/>
    <w:basedOn w:val="DefaultParagraphFont"/>
    <w:uiPriority w:val="99"/>
    <w:semiHidden/>
    <w:unhideWhenUsed/>
    <w:rsid w:val="006E7E9A"/>
    <w:rPr>
      <w:sz w:val="16"/>
      <w:szCs w:val="16"/>
    </w:rPr>
  </w:style>
  <w:style w:type="paragraph" w:styleId="CommentText">
    <w:name w:val="annotation text"/>
    <w:basedOn w:val="Normal"/>
    <w:link w:val="CommentTextChar"/>
    <w:uiPriority w:val="99"/>
    <w:semiHidden/>
    <w:unhideWhenUsed/>
    <w:rsid w:val="006E7E9A"/>
    <w:pPr>
      <w:spacing w:line="240" w:lineRule="auto"/>
    </w:pPr>
    <w:rPr>
      <w:sz w:val="20"/>
      <w:szCs w:val="20"/>
    </w:rPr>
  </w:style>
  <w:style w:type="character" w:customStyle="1" w:styleId="CommentTextChar">
    <w:name w:val="Comment Text Char"/>
    <w:basedOn w:val="DefaultParagraphFont"/>
    <w:link w:val="CommentText"/>
    <w:uiPriority w:val="99"/>
    <w:semiHidden/>
    <w:rsid w:val="006E7E9A"/>
  </w:style>
  <w:style w:type="paragraph" w:styleId="CommentSubject">
    <w:name w:val="annotation subject"/>
    <w:basedOn w:val="CommentText"/>
    <w:next w:val="CommentText"/>
    <w:link w:val="CommentSubjectChar"/>
    <w:uiPriority w:val="99"/>
    <w:semiHidden/>
    <w:unhideWhenUsed/>
    <w:rsid w:val="006E7E9A"/>
    <w:rPr>
      <w:b/>
      <w:bCs/>
    </w:rPr>
  </w:style>
  <w:style w:type="character" w:customStyle="1" w:styleId="CommentSubjectChar">
    <w:name w:val="Comment Subject Char"/>
    <w:basedOn w:val="CommentTextChar"/>
    <w:link w:val="CommentSubject"/>
    <w:uiPriority w:val="99"/>
    <w:semiHidden/>
    <w:rsid w:val="006E7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54">
      <w:bodyDiv w:val="1"/>
      <w:marLeft w:val="0"/>
      <w:marRight w:val="0"/>
      <w:marTop w:val="0"/>
      <w:marBottom w:val="0"/>
      <w:divBdr>
        <w:top w:val="none" w:sz="0" w:space="0" w:color="auto"/>
        <w:left w:val="none" w:sz="0" w:space="0" w:color="auto"/>
        <w:bottom w:val="none" w:sz="0" w:space="0" w:color="auto"/>
        <w:right w:val="none" w:sz="0" w:space="0" w:color="auto"/>
      </w:divBdr>
    </w:div>
    <w:div w:id="60567456">
      <w:bodyDiv w:val="1"/>
      <w:marLeft w:val="0"/>
      <w:marRight w:val="0"/>
      <w:marTop w:val="0"/>
      <w:marBottom w:val="0"/>
      <w:divBdr>
        <w:top w:val="none" w:sz="0" w:space="0" w:color="auto"/>
        <w:left w:val="none" w:sz="0" w:space="0" w:color="auto"/>
        <w:bottom w:val="none" w:sz="0" w:space="0" w:color="auto"/>
        <w:right w:val="none" w:sz="0" w:space="0" w:color="auto"/>
      </w:divBdr>
    </w:div>
    <w:div w:id="327951761">
      <w:bodyDiv w:val="1"/>
      <w:marLeft w:val="0"/>
      <w:marRight w:val="0"/>
      <w:marTop w:val="0"/>
      <w:marBottom w:val="0"/>
      <w:divBdr>
        <w:top w:val="none" w:sz="0" w:space="0" w:color="auto"/>
        <w:left w:val="none" w:sz="0" w:space="0" w:color="auto"/>
        <w:bottom w:val="none" w:sz="0" w:space="0" w:color="auto"/>
        <w:right w:val="none" w:sz="0" w:space="0" w:color="auto"/>
      </w:divBdr>
    </w:div>
    <w:div w:id="586547870">
      <w:bodyDiv w:val="1"/>
      <w:marLeft w:val="0"/>
      <w:marRight w:val="0"/>
      <w:marTop w:val="0"/>
      <w:marBottom w:val="0"/>
      <w:divBdr>
        <w:top w:val="none" w:sz="0" w:space="0" w:color="auto"/>
        <w:left w:val="none" w:sz="0" w:space="0" w:color="auto"/>
        <w:bottom w:val="none" w:sz="0" w:space="0" w:color="auto"/>
        <w:right w:val="none" w:sz="0" w:space="0" w:color="auto"/>
      </w:divBdr>
    </w:div>
    <w:div w:id="711463771">
      <w:bodyDiv w:val="1"/>
      <w:marLeft w:val="0"/>
      <w:marRight w:val="0"/>
      <w:marTop w:val="0"/>
      <w:marBottom w:val="0"/>
      <w:divBdr>
        <w:top w:val="none" w:sz="0" w:space="0" w:color="auto"/>
        <w:left w:val="none" w:sz="0" w:space="0" w:color="auto"/>
        <w:bottom w:val="none" w:sz="0" w:space="0" w:color="auto"/>
        <w:right w:val="none" w:sz="0" w:space="0" w:color="auto"/>
      </w:divBdr>
    </w:div>
    <w:div w:id="724454979">
      <w:bodyDiv w:val="1"/>
      <w:marLeft w:val="0"/>
      <w:marRight w:val="0"/>
      <w:marTop w:val="0"/>
      <w:marBottom w:val="0"/>
      <w:divBdr>
        <w:top w:val="none" w:sz="0" w:space="0" w:color="auto"/>
        <w:left w:val="none" w:sz="0" w:space="0" w:color="auto"/>
        <w:bottom w:val="none" w:sz="0" w:space="0" w:color="auto"/>
        <w:right w:val="none" w:sz="0" w:space="0" w:color="auto"/>
      </w:divBdr>
      <w:divsChild>
        <w:div w:id="634137040">
          <w:marLeft w:val="0"/>
          <w:marRight w:val="0"/>
          <w:marTop w:val="0"/>
          <w:marBottom w:val="0"/>
          <w:divBdr>
            <w:top w:val="none" w:sz="0" w:space="0" w:color="auto"/>
            <w:left w:val="none" w:sz="0" w:space="0" w:color="auto"/>
            <w:bottom w:val="none" w:sz="0" w:space="0" w:color="auto"/>
            <w:right w:val="none" w:sz="0" w:space="0" w:color="auto"/>
          </w:divBdr>
          <w:divsChild>
            <w:div w:id="114182604">
              <w:marLeft w:val="0"/>
              <w:marRight w:val="0"/>
              <w:marTop w:val="0"/>
              <w:marBottom w:val="0"/>
              <w:divBdr>
                <w:top w:val="none" w:sz="0" w:space="0" w:color="auto"/>
                <w:left w:val="none" w:sz="0" w:space="0" w:color="auto"/>
                <w:bottom w:val="none" w:sz="0" w:space="0" w:color="auto"/>
                <w:right w:val="none" w:sz="0" w:space="0" w:color="auto"/>
              </w:divBdr>
              <w:divsChild>
                <w:div w:id="107940687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sChild>
                        <w:div w:id="16034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06251">
      <w:bodyDiv w:val="1"/>
      <w:marLeft w:val="0"/>
      <w:marRight w:val="0"/>
      <w:marTop w:val="0"/>
      <w:marBottom w:val="0"/>
      <w:divBdr>
        <w:top w:val="none" w:sz="0" w:space="0" w:color="auto"/>
        <w:left w:val="none" w:sz="0" w:space="0" w:color="auto"/>
        <w:bottom w:val="none" w:sz="0" w:space="0" w:color="auto"/>
        <w:right w:val="none" w:sz="0" w:space="0" w:color="auto"/>
      </w:divBdr>
    </w:div>
    <w:div w:id="1626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84E1-68B7-422C-89EE-3FCF059D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6302</CharactersWithSpaces>
  <SharedDoc>false</SharedDoc>
  <HLinks>
    <vt:vector size="48" baseType="variant">
      <vt:variant>
        <vt:i4>589914</vt:i4>
      </vt:variant>
      <vt:variant>
        <vt:i4>6</vt:i4>
      </vt:variant>
      <vt:variant>
        <vt:i4>0</vt:i4>
      </vt:variant>
      <vt:variant>
        <vt:i4>5</vt:i4>
      </vt:variant>
      <vt:variant>
        <vt:lpwstr>http://www.azdvs.gov/mfrf.htm</vt:lpwstr>
      </vt:variant>
      <vt:variant>
        <vt:lpwstr/>
      </vt:variant>
      <vt:variant>
        <vt:i4>5111887</vt:i4>
      </vt:variant>
      <vt:variant>
        <vt:i4>3</vt:i4>
      </vt:variant>
      <vt:variant>
        <vt:i4>0</vt:i4>
      </vt:variant>
      <vt:variant>
        <vt:i4>5</vt:i4>
      </vt:variant>
      <vt:variant>
        <vt:lpwstr>http://www.azdor.gov/TaxCredits/CharitableTaxCredit.aspx</vt:lpwstr>
      </vt:variant>
      <vt:variant>
        <vt:lpwstr/>
      </vt:variant>
      <vt:variant>
        <vt:i4>917514</vt:i4>
      </vt:variant>
      <vt:variant>
        <vt:i4>0</vt:i4>
      </vt:variant>
      <vt:variant>
        <vt:i4>0</vt:i4>
      </vt:variant>
      <vt:variant>
        <vt:i4>5</vt:i4>
      </vt:variant>
      <vt:variant>
        <vt:lpwstr>http://www.energystar.gov/index.cfm?c=tax_credits.tx_index</vt:lpwstr>
      </vt:variant>
      <vt:variant>
        <vt:lpwstr/>
      </vt:variant>
      <vt:variant>
        <vt:i4>6946877</vt:i4>
      </vt:variant>
      <vt:variant>
        <vt:i4>12</vt:i4>
      </vt:variant>
      <vt:variant>
        <vt:i4>0</vt:i4>
      </vt:variant>
      <vt:variant>
        <vt:i4>5</vt:i4>
      </vt:variant>
      <vt:variant>
        <vt:lpwstr>http://www.azcc.gov/Divisions/Corporations/</vt:lpwstr>
      </vt:variant>
      <vt:variant>
        <vt:lpwstr/>
      </vt:variant>
      <vt:variant>
        <vt:i4>1441862</vt:i4>
      </vt:variant>
      <vt:variant>
        <vt:i4>9</vt:i4>
      </vt:variant>
      <vt:variant>
        <vt:i4>0</vt:i4>
      </vt:variant>
      <vt:variant>
        <vt:i4>5</vt:i4>
      </vt:variant>
      <vt:variant>
        <vt:lpwstr>http://www.tucsonaz.gov/water/rebate</vt:lpwstr>
      </vt:variant>
      <vt:variant>
        <vt:lpwstr/>
      </vt:variant>
      <vt:variant>
        <vt:i4>589914</vt:i4>
      </vt:variant>
      <vt:variant>
        <vt:i4>6</vt:i4>
      </vt:variant>
      <vt:variant>
        <vt:i4>0</vt:i4>
      </vt:variant>
      <vt:variant>
        <vt:i4>5</vt:i4>
      </vt:variant>
      <vt:variant>
        <vt:lpwstr>http://www.azdvs.gov/mfrf.htm</vt:lpwstr>
      </vt:variant>
      <vt:variant>
        <vt:lpwstr/>
      </vt:variant>
      <vt:variant>
        <vt:i4>5111887</vt:i4>
      </vt:variant>
      <vt:variant>
        <vt:i4>3</vt:i4>
      </vt:variant>
      <vt:variant>
        <vt:i4>0</vt:i4>
      </vt:variant>
      <vt:variant>
        <vt:i4>5</vt:i4>
      </vt:variant>
      <vt:variant>
        <vt:lpwstr>http://www.azdor.gov/TaxCredits/CharitableTaxCredit.aspx</vt:lpwstr>
      </vt:variant>
      <vt:variant>
        <vt:lpwstr/>
      </vt:variant>
      <vt:variant>
        <vt:i4>917514</vt:i4>
      </vt:variant>
      <vt:variant>
        <vt:i4>0</vt:i4>
      </vt:variant>
      <vt:variant>
        <vt:i4>0</vt:i4>
      </vt:variant>
      <vt:variant>
        <vt:i4>5</vt:i4>
      </vt:variant>
      <vt:variant>
        <vt:lpwstr>http://www.energystar.gov/index.cfm?c=tax_credits.tx_index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dc:creator>
  <cp:lastModifiedBy>Coleen Krogen</cp:lastModifiedBy>
  <cp:revision>9</cp:revision>
  <cp:lastPrinted>2014-02-03T17:59:00Z</cp:lastPrinted>
  <dcterms:created xsi:type="dcterms:W3CDTF">2014-02-03T17:11:00Z</dcterms:created>
  <dcterms:modified xsi:type="dcterms:W3CDTF">2014-02-03T22:38:00Z</dcterms:modified>
</cp:coreProperties>
</file>