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828" w:rsidRPr="00CA238F" w:rsidRDefault="00CA238F" w:rsidP="005947FA">
      <w:pPr>
        <w:pStyle w:val="Title-Professional"/>
        <w:pBdr>
          <w:top w:val="single" w:sz="6" w:space="1" w:color="000080"/>
          <w:left w:val="single" w:sz="6" w:space="15" w:color="000080"/>
          <w:bottom w:val="single" w:sz="6" w:space="3" w:color="000080"/>
          <w:right w:val="single" w:sz="6" w:space="2" w:color="000080"/>
        </w:pBdr>
        <w:tabs>
          <w:tab w:val="left" w:pos="212"/>
          <w:tab w:val="center" w:pos="4680"/>
        </w:tabs>
        <w:spacing w:after="0" w:line="240" w:lineRule="auto"/>
        <w:jc w:val="left"/>
        <w:rPr>
          <w:b/>
          <w:position w:val="30"/>
          <w:sz w:val="56"/>
          <w:szCs w:val="56"/>
          <w14:shadow w14:blurRad="50800" w14:dist="38100" w14:dir="2700000" w14:sx="100000" w14:sy="100000" w14:kx="0" w14:ky="0" w14:algn="tl">
            <w14:srgbClr w14:val="000000">
              <w14:alpha w14:val="60000"/>
            </w14:srgbClr>
          </w14:shadow>
        </w:rPr>
      </w:pPr>
      <w:r>
        <w:rPr>
          <w:b/>
          <w:i/>
          <w:noProof/>
          <w:position w:val="30"/>
          <w:sz w:val="56"/>
          <w:szCs w:val="56"/>
          <w:lang w:bidi="ar-SA"/>
        </w:rPr>
        <mc:AlternateContent>
          <mc:Choice Requires="wps">
            <w:drawing>
              <wp:anchor distT="0" distB="0" distL="114300" distR="114300" simplePos="0" relativeHeight="251746304" behindDoc="0" locked="0" layoutInCell="1" allowOverlap="1">
                <wp:simplePos x="0" y="0"/>
                <wp:positionH relativeFrom="column">
                  <wp:posOffset>1280795</wp:posOffset>
                </wp:positionH>
                <wp:positionV relativeFrom="paragraph">
                  <wp:posOffset>62230</wp:posOffset>
                </wp:positionV>
                <wp:extent cx="4898390" cy="843915"/>
                <wp:effectExtent l="4445" t="0" r="0" b="0"/>
                <wp:wrapNone/>
                <wp:docPr id="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8390" cy="843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6B8" w:rsidRPr="00B270F2" w:rsidRDefault="00571999" w:rsidP="002B4828">
                            <w:r>
                              <w:rPr>
                                <w:b/>
                                <w:i/>
                                <w:color w:val="242988"/>
                                <w:sz w:val="68"/>
                                <w:szCs w:val="6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368.2pt;height:44.2pt" fillcolor="#1c206a" stroked="f">
                                  <v:fill color2="fill lighten(51)" focusposition="1" focussize="" method="linear sigma" type="gradient"/>
                                  <v:shadow on="t" color="#4d4d4d" opacity="52429f" offset=",3pt"/>
                                  <v:textpath style="font-family:&quot;Arial Black&quot;;v-text-spacing:78650f;v-text-kern:t" trim="t" fitpath="t" string="Insider - New Tax Law Supplement"/>
                                </v:shape>
                              </w:pic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0" o:spid="_x0000_s1026" type="#_x0000_t202" style="position:absolute;margin-left:100.85pt;margin-top:4.9pt;width:385.7pt;height:66.45pt;z-index:251746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" filled="f" stroked="f">
                <v:textbox style="mso-fit-shape-to-text:t">
                  <w:txbxContent>
                    <w:p w:rsidR="009546B8" w:rsidRPr="00B270F2" w:rsidRDefault="008275EA" w:rsidP="002B4828">
                      <w:r>
                        <w:rPr>
                          <w:b/>
                          <w:i/>
                          <w:color w:val="242988"/>
                          <w:sz w:val="68"/>
                          <w:szCs w:val="68"/>
                        </w:rPr>
                        <w:pict>
                          <v:shape id="_x0000_i1027" type="#_x0000_t136" style="width:368.2pt;height:44.2pt" fillcolor="#1c206a" stroked="f">
                            <v:fill color2="fill lighten(51)" focusposition="1" focussize="" method="linear sigma" type="gradient"/>
                            <v:shadow on="t" color="#4d4d4d" opacity="52429f" offset=",3pt"/>
                            <v:textpath style="font-family:&quot;Arial Black&quot;;v-text-spacing:78650f;v-text-kern:t" trim="t" fitpath="t" string="Insider - New Tax Law Supplement"/>
                          </v:shape>
                        </w:pict>
                      </w:r>
                    </w:p>
                  </w:txbxContent>
                </v:textbox>
              </v:shape>
            </w:pict>
          </mc:Fallback>
        </mc:AlternateContent>
      </w:r>
      <w:r w:rsidR="002B4828">
        <w:rPr>
          <w:b/>
          <w:noProof/>
          <w:lang w:bidi="ar-SA"/>
        </w:rPr>
        <w:drawing>
          <wp:inline distT="0" distB="0" distL="0" distR="0">
            <wp:extent cx="1238250" cy="666750"/>
            <wp:effectExtent l="19050" t="0" r="0" b="0"/>
            <wp:docPr id="32" name="Picture 1" descr="HBL Logo new col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L Logo new color 2"/>
                    <pic:cNvPicPr>
                      <a:picLocks noChangeAspect="1" noChangeArrowheads="1"/>
                    </pic:cNvPicPr>
                  </pic:nvPicPr>
                  <pic:blipFill>
                    <a:blip r:embed="rId9" cstate="print"/>
                    <a:srcRect/>
                    <a:stretch>
                      <a:fillRect/>
                    </a:stretch>
                  </pic:blipFill>
                  <pic:spPr bwMode="auto">
                    <a:xfrm>
                      <a:off x="0" y="0"/>
                      <a:ext cx="1238250" cy="666750"/>
                    </a:xfrm>
                    <a:prstGeom prst="rect">
                      <a:avLst/>
                    </a:prstGeom>
                    <a:noFill/>
                    <a:ln w="9525">
                      <a:noFill/>
                      <a:miter lim="800000"/>
                      <a:headEnd/>
                      <a:tailEnd/>
                    </a:ln>
                  </pic:spPr>
                </pic:pic>
              </a:graphicData>
            </a:graphic>
          </wp:inline>
        </w:drawing>
      </w:r>
    </w:p>
    <w:p w:rsidR="00021655" w:rsidRDefault="00021655" w:rsidP="006746DB">
      <w:pPr>
        <w:pBdr>
          <w:bottom w:val="single" w:sz="18" w:space="0" w:color="000080"/>
        </w:pBdr>
        <w:tabs>
          <w:tab w:val="left" w:pos="1560"/>
        </w:tabs>
        <w:ind w:left="-288"/>
        <w:outlineLvl w:val="0"/>
        <w:rPr>
          <w:i/>
          <w:sz w:val="28"/>
          <w:szCs w:val="28"/>
        </w:rPr>
        <w:sectPr w:rsidR="00021655" w:rsidSect="005947FA">
          <w:type w:val="continuous"/>
          <w:pgSz w:w="12240" w:h="15840" w:code="1"/>
          <w:pgMar w:top="720" w:right="1152" w:bottom="720" w:left="1440" w:header="720" w:footer="720" w:gutter="0"/>
          <w:pgBorders w:offsetFrom="page">
            <w:top w:val="single" w:sz="48" w:space="24" w:color="000080"/>
            <w:left w:val="single" w:sz="48" w:space="24" w:color="000080"/>
            <w:bottom w:val="single" w:sz="48" w:space="24" w:color="000080"/>
            <w:right w:val="single" w:sz="48" w:space="24" w:color="000080"/>
          </w:pgBorders>
          <w:cols w:space="432"/>
          <w:docGrid w:linePitch="360"/>
        </w:sectPr>
      </w:pPr>
    </w:p>
    <w:p w:rsidR="0039095A" w:rsidRDefault="0002235F" w:rsidP="00021655">
      <w:pPr>
        <w:pBdr>
          <w:bottom w:val="single" w:sz="18" w:space="0" w:color="000080"/>
        </w:pBdr>
        <w:tabs>
          <w:tab w:val="left" w:pos="1560"/>
        </w:tabs>
        <w:ind w:left="-288"/>
        <w:outlineLvl w:val="0"/>
      </w:pPr>
      <w:r>
        <w:rPr>
          <w:noProof/>
        </w:rPr>
        <w:lastRenderedPageBreak/>
        <mc:AlternateContent>
          <mc:Choice Requires="wps">
            <w:drawing>
              <wp:anchor distT="0" distB="0" distL="114300" distR="114300" simplePos="0" relativeHeight="251749376" behindDoc="0" locked="0" layoutInCell="1" allowOverlap="1" wp14:anchorId="6F557D4C" wp14:editId="3DB4BDFA">
                <wp:simplePos x="0" y="0"/>
                <wp:positionH relativeFrom="column">
                  <wp:posOffset>3073631</wp:posOffset>
                </wp:positionH>
                <wp:positionV relativeFrom="paragraph">
                  <wp:posOffset>174279</wp:posOffset>
                </wp:positionV>
                <wp:extent cx="3273136" cy="8042390"/>
                <wp:effectExtent l="0" t="0" r="0" b="0"/>
                <wp:wrapNone/>
                <wp:docPr id="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136" cy="8042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linkedTxbx id="2"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4" o:spid="_x0000_s1027" type="#_x0000_t202" style="position:absolute;left:0;text-align:left;margin-left:242pt;margin-top:13.7pt;width:257.75pt;height:633.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" filled="f" stroked="f" strokecolor="black [3213]">
                <v:textbox>
                  <w:txbxContent/>
                </v:textbox>
              </v:shape>
            </w:pict>
          </mc:Fallback>
        </mc:AlternateContent>
      </w:r>
      <w:r w:rsidR="005947FA">
        <w:rPr>
          <w:noProof/>
        </w:rPr>
        <mc:AlternateContent>
          <mc:Choice Requires="wps">
            <w:drawing>
              <wp:anchor distT="0" distB="0" distL="114300" distR="114300" simplePos="0" relativeHeight="251748352" behindDoc="0" locked="0" layoutInCell="1" allowOverlap="1" wp14:anchorId="59E8F2EA" wp14:editId="58BBE5B4">
                <wp:simplePos x="0" y="0"/>
                <wp:positionH relativeFrom="column">
                  <wp:posOffset>-291465</wp:posOffset>
                </wp:positionH>
                <wp:positionV relativeFrom="paragraph">
                  <wp:posOffset>233680</wp:posOffset>
                </wp:positionV>
                <wp:extent cx="3227705" cy="7980045"/>
                <wp:effectExtent l="0" t="0" r="0" b="1905"/>
                <wp:wrapNone/>
                <wp:docPr id="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798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id="2">
                        <w:txbxContent>
                          <w:p w:rsidR="0039095A" w:rsidRPr="00D71927" w:rsidRDefault="00D568CC" w:rsidP="0039095A">
                            <w:pPr>
                              <w:rPr>
                                <w:rFonts w:ascii="Arial" w:hAnsi="Arial" w:cs="Arial"/>
                                <w:sz w:val="20"/>
                                <w:szCs w:val="20"/>
                              </w:rPr>
                            </w:pPr>
                            <w:r>
                              <w:rPr>
                                <w:rFonts w:ascii="Arial" w:hAnsi="Arial" w:cs="Arial"/>
                                <w:sz w:val="20"/>
                                <w:szCs w:val="20"/>
                              </w:rPr>
                              <w:t>On J</w:t>
                            </w:r>
                            <w:r w:rsidR="0039095A" w:rsidRPr="00D71927">
                              <w:rPr>
                                <w:rFonts w:ascii="Arial" w:hAnsi="Arial" w:cs="Arial"/>
                                <w:sz w:val="20"/>
                                <w:szCs w:val="20"/>
                              </w:rPr>
                              <w:t>anuary 1, 2013 Congress passed H.R 8, titled the American Taxpayer Relief Act of 2012. President Obama quickly signed the bill on Jan. 2, 2013.</w:t>
                            </w:r>
                          </w:p>
                          <w:p w:rsidR="0039095A" w:rsidRPr="00D71927" w:rsidRDefault="0039095A" w:rsidP="0039095A">
                            <w:pPr>
                              <w:rPr>
                                <w:rFonts w:ascii="Arial" w:hAnsi="Arial" w:cs="Arial"/>
                                <w:sz w:val="20"/>
                                <w:szCs w:val="20"/>
                              </w:rPr>
                            </w:pPr>
                            <w:r w:rsidRPr="00D71927">
                              <w:rPr>
                                <w:rFonts w:ascii="Arial" w:hAnsi="Arial" w:cs="Arial"/>
                                <w:sz w:val="20"/>
                                <w:szCs w:val="20"/>
                              </w:rPr>
                              <w:t>Here are some of the highlights of the new law:</w:t>
                            </w:r>
                          </w:p>
                          <w:p w:rsidR="0039095A" w:rsidRPr="001F034D" w:rsidRDefault="0039095A" w:rsidP="0039095A">
                            <w:pPr>
                              <w:jc w:val="center"/>
                              <w:rPr>
                                <w:rFonts w:ascii="Arial" w:hAnsi="Arial" w:cs="Arial"/>
                                <w:b/>
                                <w:sz w:val="24"/>
                                <w:szCs w:val="24"/>
                              </w:rPr>
                            </w:pPr>
                            <w:r w:rsidRPr="001F034D">
                              <w:rPr>
                                <w:rFonts w:ascii="Arial" w:hAnsi="Arial" w:cs="Arial"/>
                                <w:b/>
                                <w:sz w:val="24"/>
                                <w:szCs w:val="24"/>
                              </w:rPr>
                              <w:t>Provisions Primarily Affecting Individuals</w:t>
                            </w:r>
                          </w:p>
                          <w:p w:rsidR="0039095A" w:rsidRPr="00D71927" w:rsidRDefault="0039095A" w:rsidP="0039095A">
                            <w:pPr>
                              <w:rPr>
                                <w:rFonts w:ascii="Arial" w:hAnsi="Arial" w:cs="Arial"/>
                                <w:b/>
                                <w:sz w:val="20"/>
                                <w:szCs w:val="20"/>
                              </w:rPr>
                            </w:pPr>
                            <w:r w:rsidRPr="00D71927">
                              <w:rPr>
                                <w:rFonts w:ascii="Arial" w:hAnsi="Arial" w:cs="Arial"/>
                                <w:b/>
                                <w:sz w:val="20"/>
                                <w:szCs w:val="20"/>
                              </w:rPr>
                              <w:t>Income tax rate increases for the wealthiest</w:t>
                            </w:r>
                          </w:p>
                          <w:p w:rsidR="0039095A" w:rsidRPr="00D71927" w:rsidRDefault="0039095A" w:rsidP="0039095A">
                            <w:pPr>
                              <w:rPr>
                                <w:rFonts w:ascii="Arial" w:hAnsi="Arial" w:cs="Arial"/>
                                <w:sz w:val="20"/>
                                <w:szCs w:val="20"/>
                              </w:rPr>
                            </w:pPr>
                            <w:r w:rsidRPr="00D71927">
                              <w:rPr>
                                <w:rFonts w:ascii="Arial" w:hAnsi="Arial" w:cs="Arial"/>
                                <w:sz w:val="20"/>
                                <w:szCs w:val="20"/>
                              </w:rPr>
                              <w:t>The rate brackets remain as they have been for the past 10 years, adjusted annually for inflation. The six existing tax rates – 10, 15, 25, 28, 33 and 35 percent – are retained. However, beginning Jan. 1, 2013, the act imposes a new 39.6 percent bracket that will apply to taxable income above the following amounts:</w:t>
                            </w:r>
                          </w:p>
                          <w:tbl>
                            <w:tblPr>
                              <w:tblStyle w:val="TableGrid"/>
                              <w:tblW w:w="0" w:type="auto"/>
                              <w:tblLook w:val="04A0" w:firstRow="1" w:lastRow="0" w:firstColumn="1" w:lastColumn="0" w:noHBand="0" w:noVBand="1"/>
                            </w:tblPr>
                            <w:tblGrid>
                              <w:gridCol w:w="2474"/>
                              <w:gridCol w:w="2536"/>
                            </w:tblGrid>
                            <w:tr w:rsidR="0039095A" w:rsidRPr="00D71927" w:rsidTr="009F7B3A">
                              <w:tc>
                                <w:tcPr>
                                  <w:tcW w:w="4788" w:type="dxa"/>
                                </w:tcPr>
                                <w:p w:rsidR="0039095A" w:rsidRPr="00D71927" w:rsidRDefault="0039095A" w:rsidP="009F7B3A">
                                  <w:pPr>
                                    <w:jc w:val="center"/>
                                    <w:rPr>
                                      <w:rFonts w:ascii="Arial" w:hAnsi="Arial" w:cs="Arial"/>
                                      <w:b/>
                                      <w:sz w:val="20"/>
                                      <w:szCs w:val="20"/>
                                    </w:rPr>
                                  </w:pPr>
                                  <w:r w:rsidRPr="00D71927">
                                    <w:rPr>
                                      <w:rFonts w:ascii="Arial" w:hAnsi="Arial" w:cs="Arial"/>
                                      <w:b/>
                                      <w:sz w:val="20"/>
                                      <w:szCs w:val="20"/>
                                    </w:rPr>
                                    <w:t>39.6% bracket starts at taxable income of</w:t>
                                  </w:r>
                                </w:p>
                              </w:tc>
                              <w:tc>
                                <w:tcPr>
                                  <w:tcW w:w="4788" w:type="dxa"/>
                                </w:tcPr>
                                <w:p w:rsidR="0039095A" w:rsidRPr="00D71927" w:rsidRDefault="0039095A" w:rsidP="009F7B3A">
                                  <w:pPr>
                                    <w:jc w:val="center"/>
                                    <w:rPr>
                                      <w:rFonts w:ascii="Arial" w:hAnsi="Arial" w:cs="Arial"/>
                                      <w:b/>
                                      <w:sz w:val="20"/>
                                      <w:szCs w:val="20"/>
                                    </w:rPr>
                                  </w:pPr>
                                  <w:r w:rsidRPr="00D71927">
                                    <w:rPr>
                                      <w:rFonts w:ascii="Arial" w:hAnsi="Arial" w:cs="Arial"/>
                                      <w:b/>
                                      <w:sz w:val="20"/>
                                      <w:szCs w:val="20"/>
                                    </w:rPr>
                                    <w:t>For filing status</w:t>
                                  </w:r>
                                </w:p>
                              </w:tc>
                            </w:tr>
                            <w:tr w:rsidR="0039095A" w:rsidRPr="00D71927" w:rsidTr="009F7B3A">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$450,000</w:t>
                                  </w:r>
                                </w:p>
                              </w:tc>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Married filing jointly</w:t>
                                  </w:r>
                                </w:p>
                              </w:tc>
                            </w:tr>
                            <w:tr w:rsidR="0039095A" w:rsidRPr="00D71927" w:rsidTr="009F7B3A">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$425,000</w:t>
                                  </w:r>
                                </w:p>
                              </w:tc>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Head of household</w:t>
                                  </w:r>
                                </w:p>
                              </w:tc>
                            </w:tr>
                            <w:tr w:rsidR="0039095A" w:rsidRPr="00D71927" w:rsidTr="009F7B3A">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$400,000</w:t>
                                  </w:r>
                                </w:p>
                              </w:tc>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Unmarried</w:t>
                                  </w:r>
                                </w:p>
                              </w:tc>
                            </w:tr>
                            <w:tr w:rsidR="0039095A" w:rsidRPr="00D71927" w:rsidTr="009F7B3A">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$225,000</w:t>
                                  </w:r>
                                </w:p>
                              </w:tc>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Married filing separately</w:t>
                                  </w:r>
                                </w:p>
                              </w:tc>
                            </w:tr>
                          </w:tbl>
                          <w:p w:rsidR="0039095A" w:rsidRPr="00D71927" w:rsidRDefault="0039095A" w:rsidP="0039095A">
                            <w:pPr>
                              <w:rPr>
                                <w:rFonts w:ascii="Arial" w:hAnsi="Arial" w:cs="Arial"/>
                                <w:sz w:val="20"/>
                                <w:szCs w:val="20"/>
                              </w:rPr>
                            </w:pPr>
                          </w:p>
                          <w:p w:rsidR="0039095A" w:rsidRPr="00D71927" w:rsidRDefault="0039095A" w:rsidP="0039095A">
                            <w:pPr>
                              <w:rPr>
                                <w:rFonts w:ascii="Arial" w:hAnsi="Arial" w:cs="Arial"/>
                                <w:sz w:val="20"/>
                                <w:szCs w:val="20"/>
                              </w:rPr>
                            </w:pPr>
                            <w:r w:rsidRPr="00D71927">
                              <w:rPr>
                                <w:rFonts w:ascii="Arial" w:hAnsi="Arial" w:cs="Arial"/>
                                <w:sz w:val="20"/>
                                <w:szCs w:val="20"/>
                              </w:rPr>
                              <w:t>The new law also imposes a stealth type of rate increase by phasing out the personal exemption deduction and certain itemized deductions for those with adjusted gross income (AGI) above the following amounts:</w:t>
                            </w:r>
                          </w:p>
                          <w:tbl>
                            <w:tblPr>
                              <w:tblStyle w:val="TableGrid"/>
                              <w:tblW w:w="0" w:type="auto"/>
                              <w:tblLook w:val="04A0" w:firstRow="1" w:lastRow="0" w:firstColumn="1" w:lastColumn="0" w:noHBand="0" w:noVBand="1"/>
                            </w:tblPr>
                            <w:tblGrid>
                              <w:gridCol w:w="2495"/>
                              <w:gridCol w:w="2515"/>
                            </w:tblGrid>
                            <w:tr w:rsidR="0039095A" w:rsidRPr="00D71927" w:rsidTr="009F7B3A">
                              <w:tc>
                                <w:tcPr>
                                  <w:tcW w:w="4788" w:type="dxa"/>
                                </w:tcPr>
                                <w:p w:rsidR="0039095A" w:rsidRPr="00D71927" w:rsidRDefault="0039095A" w:rsidP="009F7B3A">
                                  <w:pPr>
                                    <w:jc w:val="center"/>
                                    <w:rPr>
                                      <w:rFonts w:ascii="Arial" w:hAnsi="Arial" w:cs="Arial"/>
                                      <w:b/>
                                      <w:sz w:val="20"/>
                                      <w:szCs w:val="20"/>
                                    </w:rPr>
                                  </w:pPr>
                                  <w:proofErr w:type="spellStart"/>
                                  <w:r w:rsidRPr="00D71927">
                                    <w:rPr>
                                      <w:rFonts w:ascii="Arial" w:hAnsi="Arial" w:cs="Arial"/>
                                      <w:b/>
                                      <w:sz w:val="20"/>
                                      <w:szCs w:val="20"/>
                                    </w:rPr>
                                    <w:t>Phaseout</w:t>
                                  </w:r>
                                  <w:proofErr w:type="spellEnd"/>
                                  <w:r w:rsidRPr="00D71927">
                                    <w:rPr>
                                      <w:rFonts w:ascii="Arial" w:hAnsi="Arial" w:cs="Arial"/>
                                      <w:b/>
                                      <w:sz w:val="20"/>
                                      <w:szCs w:val="20"/>
                                    </w:rPr>
                                    <w:t xml:space="preserve"> starts at AGI of</w:t>
                                  </w:r>
                                </w:p>
                              </w:tc>
                              <w:tc>
                                <w:tcPr>
                                  <w:tcW w:w="4788" w:type="dxa"/>
                                </w:tcPr>
                                <w:p w:rsidR="0039095A" w:rsidRPr="00D71927" w:rsidRDefault="0039095A" w:rsidP="009F7B3A">
                                  <w:pPr>
                                    <w:jc w:val="center"/>
                                    <w:rPr>
                                      <w:rFonts w:ascii="Arial" w:hAnsi="Arial" w:cs="Arial"/>
                                      <w:b/>
                                      <w:sz w:val="20"/>
                                      <w:szCs w:val="20"/>
                                    </w:rPr>
                                  </w:pPr>
                                  <w:r w:rsidRPr="00D71927">
                                    <w:rPr>
                                      <w:rFonts w:ascii="Arial" w:hAnsi="Arial" w:cs="Arial"/>
                                      <w:b/>
                                      <w:sz w:val="20"/>
                                      <w:szCs w:val="20"/>
                                    </w:rPr>
                                    <w:t>For filing status</w:t>
                                  </w:r>
                                </w:p>
                              </w:tc>
                            </w:tr>
                            <w:tr w:rsidR="0039095A" w:rsidRPr="00D71927" w:rsidTr="009F7B3A">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$300,000</w:t>
                                  </w:r>
                                </w:p>
                              </w:tc>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Married filing jointly</w:t>
                                  </w:r>
                                </w:p>
                              </w:tc>
                            </w:tr>
                            <w:tr w:rsidR="0039095A" w:rsidRPr="00D71927" w:rsidTr="009F7B3A">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$275,000</w:t>
                                  </w:r>
                                </w:p>
                              </w:tc>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Head of household</w:t>
                                  </w:r>
                                </w:p>
                              </w:tc>
                            </w:tr>
                            <w:tr w:rsidR="0039095A" w:rsidRPr="00D71927" w:rsidTr="009F7B3A">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$250,000</w:t>
                                  </w:r>
                                </w:p>
                              </w:tc>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Unmarried</w:t>
                                  </w:r>
                                </w:p>
                              </w:tc>
                            </w:tr>
                            <w:tr w:rsidR="0039095A" w:rsidRPr="00D71927" w:rsidTr="009F7B3A">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$150,000</w:t>
                                  </w:r>
                                </w:p>
                              </w:tc>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Married filing separately</w:t>
                                  </w:r>
                                </w:p>
                              </w:tc>
                            </w:tr>
                          </w:tbl>
                          <w:p w:rsidR="009E4D5A" w:rsidRDefault="009E4D5A" w:rsidP="0039095A">
                            <w:pPr>
                              <w:rPr>
                                <w:rFonts w:ascii="Arial" w:hAnsi="Arial" w:cs="Arial"/>
                                <w:sz w:val="20"/>
                                <w:szCs w:val="20"/>
                              </w:rPr>
                            </w:pPr>
                          </w:p>
                          <w:p w:rsidR="0039095A" w:rsidRPr="00F211E9" w:rsidRDefault="0039095A" w:rsidP="0039095A">
                            <w:pPr>
                              <w:rPr>
                                <w:rFonts w:ascii="Arial" w:hAnsi="Arial" w:cs="Arial"/>
                                <w:sz w:val="20"/>
                                <w:szCs w:val="20"/>
                              </w:rPr>
                            </w:pPr>
                            <w:r w:rsidRPr="00F211E9">
                              <w:rPr>
                                <w:rFonts w:ascii="Arial" w:hAnsi="Arial" w:cs="Arial"/>
                                <w:sz w:val="20"/>
                                <w:szCs w:val="20"/>
                              </w:rPr>
                              <w:t xml:space="preserve">Once AGI exceeds the applicable threshold by more than $122,500, the personal exemption deduction is lost entirely. Similarly, certain itemized deductions are lost as AGI exceeds the same threshold due to a 3 percent threshold </w:t>
                            </w:r>
                            <w:proofErr w:type="spellStart"/>
                            <w:r w:rsidRPr="00F211E9">
                              <w:rPr>
                                <w:rFonts w:ascii="Arial" w:hAnsi="Arial" w:cs="Arial"/>
                                <w:sz w:val="20"/>
                                <w:szCs w:val="20"/>
                              </w:rPr>
                              <w:t>phaseout</w:t>
                            </w:r>
                            <w:proofErr w:type="spellEnd"/>
                            <w:r w:rsidRPr="00F211E9">
                              <w:rPr>
                                <w:rFonts w:ascii="Arial" w:hAnsi="Arial" w:cs="Arial"/>
                                <w:sz w:val="20"/>
                                <w:szCs w:val="20"/>
                              </w:rPr>
                              <w:t>.</w:t>
                            </w:r>
                          </w:p>
                          <w:p w:rsidR="0039095A" w:rsidRPr="00F211E9" w:rsidRDefault="0039095A" w:rsidP="0039095A">
                            <w:pPr>
                              <w:rPr>
                                <w:rFonts w:ascii="Arial" w:hAnsi="Arial" w:cs="Arial"/>
                                <w:sz w:val="20"/>
                                <w:szCs w:val="20"/>
                              </w:rPr>
                            </w:pPr>
                            <w:r w:rsidRPr="00F211E9">
                              <w:rPr>
                                <w:rFonts w:ascii="Arial" w:hAnsi="Arial" w:cs="Arial"/>
                                <w:sz w:val="20"/>
                                <w:szCs w:val="20"/>
                              </w:rPr>
                              <w:t xml:space="preserve">Medical deductions, investment interest, casualty, theft and wagering losses are not subject to this </w:t>
                            </w:r>
                            <w:proofErr w:type="spellStart"/>
                            <w:r w:rsidRPr="00F211E9">
                              <w:rPr>
                                <w:rFonts w:ascii="Arial" w:hAnsi="Arial" w:cs="Arial"/>
                                <w:sz w:val="20"/>
                                <w:szCs w:val="20"/>
                              </w:rPr>
                              <w:t>phaseout</w:t>
                            </w:r>
                            <w:proofErr w:type="spellEnd"/>
                            <w:r w:rsidRPr="00F211E9">
                              <w:rPr>
                                <w:rFonts w:ascii="Arial" w:hAnsi="Arial" w:cs="Arial"/>
                                <w:sz w:val="20"/>
                                <w:szCs w:val="20"/>
                              </w:rPr>
                              <w:t xml:space="preserve">. When planning charitable giving for 2013, taxpayers should keep in mind that their contribution deduction could be subject to this </w:t>
                            </w:r>
                            <w:proofErr w:type="spellStart"/>
                            <w:r w:rsidRPr="00F211E9">
                              <w:rPr>
                                <w:rFonts w:ascii="Arial" w:hAnsi="Arial" w:cs="Arial"/>
                                <w:sz w:val="20"/>
                                <w:szCs w:val="20"/>
                              </w:rPr>
                              <w:t>phaseout</w:t>
                            </w:r>
                            <w:proofErr w:type="spellEnd"/>
                            <w:r w:rsidRPr="00F211E9">
                              <w:rPr>
                                <w:rFonts w:ascii="Arial" w:hAnsi="Arial" w:cs="Arial"/>
                                <w:sz w:val="20"/>
                                <w:szCs w:val="20"/>
                              </w:rPr>
                              <w:t>.</w:t>
                            </w:r>
                          </w:p>
                          <w:p w:rsidR="0039095A" w:rsidRPr="00F211E9" w:rsidRDefault="0039095A" w:rsidP="0039095A">
                            <w:pPr>
                              <w:rPr>
                                <w:rFonts w:ascii="Arial" w:hAnsi="Arial" w:cs="Arial"/>
                                <w:sz w:val="20"/>
                                <w:szCs w:val="20"/>
                              </w:rPr>
                            </w:pPr>
                            <w:r w:rsidRPr="00F211E9">
                              <w:rPr>
                                <w:rFonts w:ascii="Arial" w:hAnsi="Arial" w:cs="Arial"/>
                                <w:sz w:val="20"/>
                                <w:szCs w:val="20"/>
                              </w:rPr>
                              <w:t xml:space="preserve">For itemized deductions subject to </w:t>
                            </w:r>
                            <w:proofErr w:type="spellStart"/>
                            <w:r w:rsidRPr="00F211E9">
                              <w:rPr>
                                <w:rFonts w:ascii="Arial" w:hAnsi="Arial" w:cs="Arial"/>
                                <w:sz w:val="20"/>
                                <w:szCs w:val="20"/>
                              </w:rPr>
                              <w:t>phaseout</w:t>
                            </w:r>
                            <w:proofErr w:type="spellEnd"/>
                            <w:r w:rsidRPr="00F211E9">
                              <w:rPr>
                                <w:rFonts w:ascii="Arial" w:hAnsi="Arial" w:cs="Arial"/>
                                <w:sz w:val="20"/>
                                <w:szCs w:val="20"/>
                              </w:rPr>
                              <w:t xml:space="preserve">, taxpayers will always be entitled to at least 20 percent of the total, since the </w:t>
                            </w:r>
                            <w:proofErr w:type="spellStart"/>
                            <w:r w:rsidRPr="00F211E9">
                              <w:rPr>
                                <w:rFonts w:ascii="Arial" w:hAnsi="Arial" w:cs="Arial"/>
                                <w:sz w:val="20"/>
                                <w:szCs w:val="20"/>
                              </w:rPr>
                              <w:t>phaseout</w:t>
                            </w:r>
                            <w:proofErr w:type="spellEnd"/>
                            <w:r w:rsidRPr="00F211E9">
                              <w:rPr>
                                <w:rFonts w:ascii="Arial" w:hAnsi="Arial" w:cs="Arial"/>
                                <w:sz w:val="20"/>
                                <w:szCs w:val="20"/>
                              </w:rPr>
                              <w:t xml:space="preserve"> cannot eliminate more than 80 percent of their itemized deductions.</w:t>
                            </w:r>
                          </w:p>
                          <w:p w:rsidR="0039095A" w:rsidRPr="00F211E9" w:rsidRDefault="0039095A" w:rsidP="0039095A">
                            <w:pPr>
                              <w:rPr>
                                <w:rFonts w:ascii="Arial" w:hAnsi="Arial" w:cs="Arial"/>
                                <w:b/>
                                <w:sz w:val="20"/>
                                <w:szCs w:val="20"/>
                              </w:rPr>
                            </w:pPr>
                            <w:r w:rsidRPr="00F211E9">
                              <w:rPr>
                                <w:rFonts w:ascii="Arial" w:hAnsi="Arial" w:cs="Arial"/>
                                <w:b/>
                                <w:sz w:val="20"/>
                                <w:szCs w:val="20"/>
                              </w:rPr>
                              <w:t>Maximum tax on capital gains and dividends</w:t>
                            </w:r>
                          </w:p>
                          <w:p w:rsidR="0039095A" w:rsidRDefault="0039095A" w:rsidP="0039095A">
                            <w:pPr>
                              <w:rPr>
                                <w:rFonts w:ascii="Arial" w:hAnsi="Arial" w:cs="Arial"/>
                                <w:sz w:val="20"/>
                                <w:szCs w:val="20"/>
                              </w:rPr>
                            </w:pPr>
                            <w:r w:rsidRPr="00F211E9">
                              <w:rPr>
                                <w:rFonts w:ascii="Arial" w:hAnsi="Arial" w:cs="Arial"/>
                                <w:sz w:val="20"/>
                                <w:szCs w:val="20"/>
                              </w:rPr>
                              <w:t>For tax years beginning after 2012, a new 20 percent tax rate will apply to dividends and long-term capital gains for married tax</w:t>
                            </w:r>
                            <w:r w:rsidR="00AA5B8B">
                              <w:rPr>
                                <w:rFonts w:ascii="Arial" w:hAnsi="Arial" w:cs="Arial"/>
                                <w:sz w:val="20"/>
                                <w:szCs w:val="20"/>
                              </w:rPr>
                              <w:t>p</w:t>
                            </w:r>
                            <w:r w:rsidRPr="00F211E9">
                              <w:rPr>
                                <w:rFonts w:ascii="Arial" w:hAnsi="Arial" w:cs="Arial"/>
                                <w:sz w:val="20"/>
                                <w:szCs w:val="20"/>
                              </w:rPr>
                              <w:t>ayers with taxable incomes exceeding $450,000 ($400,000 for single taxpayers) to the extent they exceed these thresholds. For taxpayers between the 25 percent and 39.6 percent brackets, capital gains and dividends will continue to be taxed at 15 percent, while the lower bracket individuals will still enjoy a zero percent tax rate.</w:t>
                            </w:r>
                          </w:p>
                          <w:p w:rsidR="00A93CEC" w:rsidRDefault="0039095A" w:rsidP="0039095A">
                            <w:pPr>
                              <w:rPr>
                                <w:rFonts w:ascii="Arial" w:hAnsi="Arial" w:cs="Arial"/>
                                <w:sz w:val="20"/>
                                <w:szCs w:val="20"/>
                              </w:rPr>
                            </w:pPr>
                            <w:r w:rsidRPr="00F211E9">
                              <w:rPr>
                                <w:rFonts w:ascii="Arial" w:hAnsi="Arial" w:cs="Arial"/>
                                <w:sz w:val="20"/>
                                <w:szCs w:val="20"/>
                              </w:rPr>
                              <w:t>To avoid the effect of the 20 percent tax rate, more people may want to consider electing out of the installment sale method in 2012. In addition, the new 3.8 percent Medicare tax on investment income may apply (see below for more detail).</w:t>
                            </w:r>
                            <w:r w:rsidR="0002235F" w:rsidRPr="0002235F">
                              <w:rPr>
                                <w:rFonts w:ascii="Arial" w:hAnsi="Arial" w:cs="Arial"/>
                                <w:sz w:val="20"/>
                                <w:szCs w:val="20"/>
                              </w:rPr>
                              <w:t xml:space="preserve"> </w:t>
                            </w:r>
                          </w:p>
                          <w:p w:rsidR="00A93CEC" w:rsidRPr="00F211E9" w:rsidRDefault="00A93CEC" w:rsidP="00A93CEC">
                            <w:pPr>
                              <w:rPr>
                                <w:rFonts w:ascii="Arial" w:hAnsi="Arial" w:cs="Arial"/>
                                <w:b/>
                                <w:sz w:val="20"/>
                                <w:szCs w:val="20"/>
                              </w:rPr>
                            </w:pPr>
                            <w:r w:rsidRPr="00F211E9">
                              <w:rPr>
                                <w:rFonts w:ascii="Arial" w:hAnsi="Arial" w:cs="Arial"/>
                                <w:b/>
                                <w:sz w:val="20"/>
                                <w:szCs w:val="20"/>
                              </w:rPr>
                              <w:t>Estate and gift tax rate increases</w:t>
                            </w:r>
                          </w:p>
                          <w:p w:rsidR="0039095A" w:rsidRPr="00F211E9" w:rsidRDefault="00A93CEC" w:rsidP="00282221">
                            <w:pPr>
                              <w:jc w:val="left"/>
                              <w:rPr>
                                <w:rFonts w:ascii="Arial" w:hAnsi="Arial" w:cs="Arial"/>
                                <w:sz w:val="20"/>
                                <w:szCs w:val="20"/>
                              </w:rPr>
                            </w:pPr>
                            <w:r w:rsidRPr="00F211E9">
                              <w:rPr>
                                <w:rFonts w:ascii="Arial" w:hAnsi="Arial" w:cs="Arial"/>
                                <w:sz w:val="20"/>
                                <w:szCs w:val="20"/>
                              </w:rPr>
                              <w:t>For decedents dying and gifts made after Dec. 31, 2012, the top estate and gift tax rate is 40 percent. The estate and gift tax exemption remains unified at $5 million, indexed for inflation. For 2012, the exempt amount is $5.12 million.</w:t>
                            </w:r>
                            <w:r w:rsidR="0018791B" w:rsidRPr="0018791B">
                              <w:rPr>
                                <w:noProof/>
                              </w:rPr>
                              <w:drawing>
                                <wp:inline distT="0" distB="0" distL="0" distR="0">
                                  <wp:extent cx="3179067" cy="1401767"/>
                                  <wp:effectExtent l="0" t="0" r="254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79067" cy="140176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3" o:spid="_x0000_s1028" type="#_x0000_t202" style="position:absolute;left:0;text-align:left;margin-left:-22.95pt;margin-top:18.4pt;width:254.15pt;height:628.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" filled="f" stroked="f" strokecolor="black [3213]">
                <v:textbox style="mso-next-textbox:#Text Box 114">
                  <w:txbxContent>
                    <w:p w:rsidR="0039095A" w:rsidRPr="00D71927" w:rsidRDefault="00D568CC" w:rsidP="0039095A">
                      <w:pPr>
                        <w:rPr>
                          <w:rFonts w:ascii="Arial" w:hAnsi="Arial" w:cs="Arial"/>
                          <w:sz w:val="20"/>
                          <w:szCs w:val="20"/>
                        </w:rPr>
                      </w:pPr>
                      <w:r>
                        <w:rPr>
                          <w:rFonts w:ascii="Arial" w:hAnsi="Arial" w:cs="Arial"/>
                          <w:sz w:val="20"/>
                          <w:szCs w:val="20"/>
                        </w:rPr>
                        <w:t>On J</w:t>
                      </w:r>
                      <w:r w:rsidR="0039095A" w:rsidRPr="00D71927">
                        <w:rPr>
                          <w:rFonts w:ascii="Arial" w:hAnsi="Arial" w:cs="Arial"/>
                          <w:sz w:val="20"/>
                          <w:szCs w:val="20"/>
                        </w:rPr>
                        <w:t>anuary 1, 2013 Congress passed H.R 8, titled the American Taxpayer Relief Act of 2012. President Obama quickly signed the bill on Jan. 2, 2013.</w:t>
                      </w:r>
                    </w:p>
                    <w:p w:rsidR="0039095A" w:rsidRPr="00D71927" w:rsidRDefault="0039095A" w:rsidP="0039095A">
                      <w:pPr>
                        <w:rPr>
                          <w:rFonts w:ascii="Arial" w:hAnsi="Arial" w:cs="Arial"/>
                          <w:sz w:val="20"/>
                          <w:szCs w:val="20"/>
                        </w:rPr>
                      </w:pPr>
                      <w:r w:rsidRPr="00D71927">
                        <w:rPr>
                          <w:rFonts w:ascii="Arial" w:hAnsi="Arial" w:cs="Arial"/>
                          <w:sz w:val="20"/>
                          <w:szCs w:val="20"/>
                        </w:rPr>
                        <w:t>Here are some of the highlights of the new law:</w:t>
                      </w:r>
                    </w:p>
                    <w:p w:rsidR="0039095A" w:rsidRPr="001F034D" w:rsidRDefault="0039095A" w:rsidP="0039095A">
                      <w:pPr>
                        <w:jc w:val="center"/>
                        <w:rPr>
                          <w:rFonts w:ascii="Arial" w:hAnsi="Arial" w:cs="Arial"/>
                          <w:b/>
                          <w:sz w:val="24"/>
                          <w:szCs w:val="24"/>
                        </w:rPr>
                      </w:pPr>
                      <w:r w:rsidRPr="001F034D">
                        <w:rPr>
                          <w:rFonts w:ascii="Arial" w:hAnsi="Arial" w:cs="Arial"/>
                          <w:b/>
                          <w:sz w:val="24"/>
                          <w:szCs w:val="24"/>
                        </w:rPr>
                        <w:t>Provisions Primarily Affecting Individuals</w:t>
                      </w:r>
                    </w:p>
                    <w:p w:rsidR="0039095A" w:rsidRPr="00D71927" w:rsidRDefault="0039095A" w:rsidP="0039095A">
                      <w:pPr>
                        <w:rPr>
                          <w:rFonts w:ascii="Arial" w:hAnsi="Arial" w:cs="Arial"/>
                          <w:b/>
                          <w:sz w:val="20"/>
                          <w:szCs w:val="20"/>
                        </w:rPr>
                      </w:pPr>
                      <w:r w:rsidRPr="00D71927">
                        <w:rPr>
                          <w:rFonts w:ascii="Arial" w:hAnsi="Arial" w:cs="Arial"/>
                          <w:b/>
                          <w:sz w:val="20"/>
                          <w:szCs w:val="20"/>
                        </w:rPr>
                        <w:t>Income tax rate increases for the wealthiest</w:t>
                      </w:r>
                    </w:p>
                    <w:p w:rsidR="0039095A" w:rsidRPr="00D71927" w:rsidRDefault="0039095A" w:rsidP="0039095A">
                      <w:pPr>
                        <w:rPr>
                          <w:rFonts w:ascii="Arial" w:hAnsi="Arial" w:cs="Arial"/>
                          <w:sz w:val="20"/>
                          <w:szCs w:val="20"/>
                        </w:rPr>
                      </w:pPr>
                      <w:r w:rsidRPr="00D71927">
                        <w:rPr>
                          <w:rFonts w:ascii="Arial" w:hAnsi="Arial" w:cs="Arial"/>
                          <w:sz w:val="20"/>
                          <w:szCs w:val="20"/>
                        </w:rPr>
                        <w:t>The rate brackets remain as they have been for the past 10 years, adjusted annually for inflation. The six existing tax rates – 10, 15, 25, 28, 33 and 35 percent – are retained. However, beginning Jan. 1, 2013, the act imposes a new 39.6 percent bracket that will apply to taxable income above the following amounts:</w:t>
                      </w:r>
                    </w:p>
                    <w:tbl>
                      <w:tblPr>
                        <w:tblStyle w:val="TableGrid"/>
                        <w:tblW w:w="0" w:type="auto"/>
                        <w:tblLook w:val="04A0" w:firstRow="1" w:lastRow="0" w:firstColumn="1" w:lastColumn="0" w:noHBand="0" w:noVBand="1"/>
                      </w:tblPr>
                      <w:tblGrid>
                        <w:gridCol w:w="2474"/>
                        <w:gridCol w:w="2536"/>
                      </w:tblGrid>
                      <w:tr w:rsidR="0039095A" w:rsidRPr="00D71927" w:rsidTr="009F7B3A">
                        <w:tc>
                          <w:tcPr>
                            <w:tcW w:w="4788" w:type="dxa"/>
                          </w:tcPr>
                          <w:p w:rsidR="0039095A" w:rsidRPr="00D71927" w:rsidRDefault="0039095A" w:rsidP="009F7B3A">
                            <w:pPr>
                              <w:jc w:val="center"/>
                              <w:rPr>
                                <w:rFonts w:ascii="Arial" w:hAnsi="Arial" w:cs="Arial"/>
                                <w:b/>
                                <w:sz w:val="20"/>
                                <w:szCs w:val="20"/>
                              </w:rPr>
                            </w:pPr>
                            <w:r w:rsidRPr="00D71927">
                              <w:rPr>
                                <w:rFonts w:ascii="Arial" w:hAnsi="Arial" w:cs="Arial"/>
                                <w:b/>
                                <w:sz w:val="20"/>
                                <w:szCs w:val="20"/>
                              </w:rPr>
                              <w:t>39.6% bracket starts at taxable income of</w:t>
                            </w:r>
                          </w:p>
                        </w:tc>
                        <w:tc>
                          <w:tcPr>
                            <w:tcW w:w="4788" w:type="dxa"/>
                          </w:tcPr>
                          <w:p w:rsidR="0039095A" w:rsidRPr="00D71927" w:rsidRDefault="0039095A" w:rsidP="009F7B3A">
                            <w:pPr>
                              <w:jc w:val="center"/>
                              <w:rPr>
                                <w:rFonts w:ascii="Arial" w:hAnsi="Arial" w:cs="Arial"/>
                                <w:b/>
                                <w:sz w:val="20"/>
                                <w:szCs w:val="20"/>
                              </w:rPr>
                            </w:pPr>
                            <w:r w:rsidRPr="00D71927">
                              <w:rPr>
                                <w:rFonts w:ascii="Arial" w:hAnsi="Arial" w:cs="Arial"/>
                                <w:b/>
                                <w:sz w:val="20"/>
                                <w:szCs w:val="20"/>
                              </w:rPr>
                              <w:t>For filing status</w:t>
                            </w:r>
                          </w:p>
                        </w:tc>
                      </w:tr>
                      <w:tr w:rsidR="0039095A" w:rsidRPr="00D71927" w:rsidTr="009F7B3A">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$450,000</w:t>
                            </w:r>
                          </w:p>
                        </w:tc>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Married filing jointly</w:t>
                            </w:r>
                          </w:p>
                        </w:tc>
                      </w:tr>
                      <w:tr w:rsidR="0039095A" w:rsidRPr="00D71927" w:rsidTr="009F7B3A">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$425,000</w:t>
                            </w:r>
                          </w:p>
                        </w:tc>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Head of household</w:t>
                            </w:r>
                          </w:p>
                        </w:tc>
                      </w:tr>
                      <w:tr w:rsidR="0039095A" w:rsidRPr="00D71927" w:rsidTr="009F7B3A">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$400,000</w:t>
                            </w:r>
                          </w:p>
                        </w:tc>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Unmarried</w:t>
                            </w:r>
                          </w:p>
                        </w:tc>
                      </w:tr>
                      <w:tr w:rsidR="0039095A" w:rsidRPr="00D71927" w:rsidTr="009F7B3A">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$225,000</w:t>
                            </w:r>
                          </w:p>
                        </w:tc>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Married filing separately</w:t>
                            </w:r>
                          </w:p>
                        </w:tc>
                      </w:tr>
                    </w:tbl>
                    <w:p w:rsidR="0039095A" w:rsidRPr="00D71927" w:rsidRDefault="0039095A" w:rsidP="0039095A">
                      <w:pPr>
                        <w:rPr>
                          <w:rFonts w:ascii="Arial" w:hAnsi="Arial" w:cs="Arial"/>
                          <w:sz w:val="20"/>
                          <w:szCs w:val="20"/>
                        </w:rPr>
                      </w:pPr>
                    </w:p>
                    <w:p w:rsidR="0039095A" w:rsidRPr="00D71927" w:rsidRDefault="0039095A" w:rsidP="0039095A">
                      <w:pPr>
                        <w:rPr>
                          <w:rFonts w:ascii="Arial" w:hAnsi="Arial" w:cs="Arial"/>
                          <w:sz w:val="20"/>
                          <w:szCs w:val="20"/>
                        </w:rPr>
                      </w:pPr>
                      <w:r w:rsidRPr="00D71927">
                        <w:rPr>
                          <w:rFonts w:ascii="Arial" w:hAnsi="Arial" w:cs="Arial"/>
                          <w:sz w:val="20"/>
                          <w:szCs w:val="20"/>
                        </w:rPr>
                        <w:t>The new law also imposes a stealth type of rate increase by phasing out the personal exemption deduction and certain itemized deductions for those with adjusted gross income (AGI) above the following amounts:</w:t>
                      </w:r>
                    </w:p>
                    <w:tbl>
                      <w:tblPr>
                        <w:tblStyle w:val="TableGrid"/>
                        <w:tblW w:w="0" w:type="auto"/>
                        <w:tblLook w:val="04A0" w:firstRow="1" w:lastRow="0" w:firstColumn="1" w:lastColumn="0" w:noHBand="0" w:noVBand="1"/>
                      </w:tblPr>
                      <w:tblGrid>
                        <w:gridCol w:w="2495"/>
                        <w:gridCol w:w="2515"/>
                      </w:tblGrid>
                      <w:tr w:rsidR="0039095A" w:rsidRPr="00D71927" w:rsidTr="009F7B3A">
                        <w:tc>
                          <w:tcPr>
                            <w:tcW w:w="4788" w:type="dxa"/>
                          </w:tcPr>
                          <w:p w:rsidR="0039095A" w:rsidRPr="00D71927" w:rsidRDefault="0039095A" w:rsidP="009F7B3A">
                            <w:pPr>
                              <w:jc w:val="center"/>
                              <w:rPr>
                                <w:rFonts w:ascii="Arial" w:hAnsi="Arial" w:cs="Arial"/>
                                <w:b/>
                                <w:sz w:val="20"/>
                                <w:szCs w:val="20"/>
                              </w:rPr>
                            </w:pPr>
                            <w:proofErr w:type="spellStart"/>
                            <w:r w:rsidRPr="00D71927">
                              <w:rPr>
                                <w:rFonts w:ascii="Arial" w:hAnsi="Arial" w:cs="Arial"/>
                                <w:b/>
                                <w:sz w:val="20"/>
                                <w:szCs w:val="20"/>
                              </w:rPr>
                              <w:t>Phaseout</w:t>
                            </w:r>
                            <w:proofErr w:type="spellEnd"/>
                            <w:r w:rsidRPr="00D71927">
                              <w:rPr>
                                <w:rFonts w:ascii="Arial" w:hAnsi="Arial" w:cs="Arial"/>
                                <w:b/>
                                <w:sz w:val="20"/>
                                <w:szCs w:val="20"/>
                              </w:rPr>
                              <w:t xml:space="preserve"> starts at AGI of</w:t>
                            </w:r>
                          </w:p>
                        </w:tc>
                        <w:tc>
                          <w:tcPr>
                            <w:tcW w:w="4788" w:type="dxa"/>
                          </w:tcPr>
                          <w:p w:rsidR="0039095A" w:rsidRPr="00D71927" w:rsidRDefault="0039095A" w:rsidP="009F7B3A">
                            <w:pPr>
                              <w:jc w:val="center"/>
                              <w:rPr>
                                <w:rFonts w:ascii="Arial" w:hAnsi="Arial" w:cs="Arial"/>
                                <w:b/>
                                <w:sz w:val="20"/>
                                <w:szCs w:val="20"/>
                              </w:rPr>
                            </w:pPr>
                            <w:r w:rsidRPr="00D71927">
                              <w:rPr>
                                <w:rFonts w:ascii="Arial" w:hAnsi="Arial" w:cs="Arial"/>
                                <w:b/>
                                <w:sz w:val="20"/>
                                <w:szCs w:val="20"/>
                              </w:rPr>
                              <w:t>For filing status</w:t>
                            </w:r>
                          </w:p>
                        </w:tc>
                      </w:tr>
                      <w:tr w:rsidR="0039095A" w:rsidRPr="00D71927" w:rsidTr="009F7B3A">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$300,000</w:t>
                            </w:r>
                          </w:p>
                        </w:tc>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Married filing jointly</w:t>
                            </w:r>
                          </w:p>
                        </w:tc>
                      </w:tr>
                      <w:tr w:rsidR="0039095A" w:rsidRPr="00D71927" w:rsidTr="009F7B3A">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$275,000</w:t>
                            </w:r>
                          </w:p>
                        </w:tc>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Head of household</w:t>
                            </w:r>
                          </w:p>
                        </w:tc>
                      </w:tr>
                      <w:tr w:rsidR="0039095A" w:rsidRPr="00D71927" w:rsidTr="009F7B3A">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$250,000</w:t>
                            </w:r>
                          </w:p>
                        </w:tc>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Unmarried</w:t>
                            </w:r>
                          </w:p>
                        </w:tc>
                      </w:tr>
                      <w:tr w:rsidR="0039095A" w:rsidRPr="00D71927" w:rsidTr="009F7B3A">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$150,000</w:t>
                            </w:r>
                          </w:p>
                        </w:tc>
                        <w:tc>
                          <w:tcPr>
                            <w:tcW w:w="4788" w:type="dxa"/>
                          </w:tcPr>
                          <w:p w:rsidR="0039095A" w:rsidRPr="00D71927" w:rsidRDefault="0039095A" w:rsidP="009F7B3A">
                            <w:pPr>
                              <w:jc w:val="center"/>
                              <w:rPr>
                                <w:rFonts w:ascii="Arial" w:hAnsi="Arial" w:cs="Arial"/>
                                <w:sz w:val="20"/>
                                <w:szCs w:val="20"/>
                              </w:rPr>
                            </w:pPr>
                            <w:r w:rsidRPr="00D71927">
                              <w:rPr>
                                <w:rFonts w:ascii="Arial" w:hAnsi="Arial" w:cs="Arial"/>
                                <w:sz w:val="20"/>
                                <w:szCs w:val="20"/>
                              </w:rPr>
                              <w:t>Married filing separately</w:t>
                            </w:r>
                          </w:p>
                        </w:tc>
                      </w:tr>
                    </w:tbl>
                    <w:p w:rsidR="009E4D5A" w:rsidRDefault="009E4D5A" w:rsidP="0039095A">
                      <w:pPr>
                        <w:rPr>
                          <w:rFonts w:ascii="Arial" w:hAnsi="Arial" w:cs="Arial"/>
                          <w:sz w:val="20"/>
                          <w:szCs w:val="20"/>
                        </w:rPr>
                      </w:pPr>
                    </w:p>
                    <w:p w:rsidR="0039095A" w:rsidRPr="00F211E9" w:rsidRDefault="0039095A" w:rsidP="0039095A">
                      <w:pPr>
                        <w:rPr>
                          <w:rFonts w:ascii="Arial" w:hAnsi="Arial" w:cs="Arial"/>
                          <w:sz w:val="20"/>
                          <w:szCs w:val="20"/>
                        </w:rPr>
                      </w:pPr>
                      <w:r w:rsidRPr="00F211E9">
                        <w:rPr>
                          <w:rFonts w:ascii="Arial" w:hAnsi="Arial" w:cs="Arial"/>
                          <w:sz w:val="20"/>
                          <w:szCs w:val="20"/>
                        </w:rPr>
                        <w:t xml:space="preserve">Once AGI exceeds the applicable threshold by more than $122,500, the personal exemption deduction is lost entirely. Similarly, certain itemized deductions are lost as AGI exceeds the same threshold due to a 3 percent threshold </w:t>
                      </w:r>
                      <w:proofErr w:type="spellStart"/>
                      <w:r w:rsidRPr="00F211E9">
                        <w:rPr>
                          <w:rFonts w:ascii="Arial" w:hAnsi="Arial" w:cs="Arial"/>
                          <w:sz w:val="20"/>
                          <w:szCs w:val="20"/>
                        </w:rPr>
                        <w:t>phaseout</w:t>
                      </w:r>
                      <w:proofErr w:type="spellEnd"/>
                      <w:r w:rsidRPr="00F211E9">
                        <w:rPr>
                          <w:rFonts w:ascii="Arial" w:hAnsi="Arial" w:cs="Arial"/>
                          <w:sz w:val="20"/>
                          <w:szCs w:val="20"/>
                        </w:rPr>
                        <w:t>.</w:t>
                      </w:r>
                    </w:p>
                    <w:p w:rsidR="0039095A" w:rsidRPr="00F211E9" w:rsidRDefault="0039095A" w:rsidP="0039095A">
                      <w:pPr>
                        <w:rPr>
                          <w:rFonts w:ascii="Arial" w:hAnsi="Arial" w:cs="Arial"/>
                          <w:sz w:val="20"/>
                          <w:szCs w:val="20"/>
                        </w:rPr>
                      </w:pPr>
                      <w:r w:rsidRPr="00F211E9">
                        <w:rPr>
                          <w:rFonts w:ascii="Arial" w:hAnsi="Arial" w:cs="Arial"/>
                          <w:sz w:val="20"/>
                          <w:szCs w:val="20"/>
                        </w:rPr>
                        <w:t xml:space="preserve">Medical deductions, investment interest, casualty, theft and wagering losses are not subject to this </w:t>
                      </w:r>
                      <w:proofErr w:type="spellStart"/>
                      <w:r w:rsidRPr="00F211E9">
                        <w:rPr>
                          <w:rFonts w:ascii="Arial" w:hAnsi="Arial" w:cs="Arial"/>
                          <w:sz w:val="20"/>
                          <w:szCs w:val="20"/>
                        </w:rPr>
                        <w:t>phaseout</w:t>
                      </w:r>
                      <w:proofErr w:type="spellEnd"/>
                      <w:r w:rsidRPr="00F211E9">
                        <w:rPr>
                          <w:rFonts w:ascii="Arial" w:hAnsi="Arial" w:cs="Arial"/>
                          <w:sz w:val="20"/>
                          <w:szCs w:val="20"/>
                        </w:rPr>
                        <w:t xml:space="preserve">. When planning charitable giving for 2013, taxpayers should keep in mind that their contribution deduction could be subject to this </w:t>
                      </w:r>
                      <w:proofErr w:type="spellStart"/>
                      <w:r w:rsidRPr="00F211E9">
                        <w:rPr>
                          <w:rFonts w:ascii="Arial" w:hAnsi="Arial" w:cs="Arial"/>
                          <w:sz w:val="20"/>
                          <w:szCs w:val="20"/>
                        </w:rPr>
                        <w:t>phaseout</w:t>
                      </w:r>
                      <w:proofErr w:type="spellEnd"/>
                      <w:r w:rsidRPr="00F211E9">
                        <w:rPr>
                          <w:rFonts w:ascii="Arial" w:hAnsi="Arial" w:cs="Arial"/>
                          <w:sz w:val="20"/>
                          <w:szCs w:val="20"/>
                        </w:rPr>
                        <w:t>.</w:t>
                      </w:r>
                    </w:p>
                    <w:p w:rsidR="0039095A" w:rsidRPr="00F211E9" w:rsidRDefault="0039095A" w:rsidP="0039095A">
                      <w:pPr>
                        <w:rPr>
                          <w:rFonts w:ascii="Arial" w:hAnsi="Arial" w:cs="Arial"/>
                          <w:sz w:val="20"/>
                          <w:szCs w:val="20"/>
                        </w:rPr>
                      </w:pPr>
                      <w:r w:rsidRPr="00F211E9">
                        <w:rPr>
                          <w:rFonts w:ascii="Arial" w:hAnsi="Arial" w:cs="Arial"/>
                          <w:sz w:val="20"/>
                          <w:szCs w:val="20"/>
                        </w:rPr>
                        <w:t xml:space="preserve">For itemized deductions subject to </w:t>
                      </w:r>
                      <w:proofErr w:type="spellStart"/>
                      <w:r w:rsidRPr="00F211E9">
                        <w:rPr>
                          <w:rFonts w:ascii="Arial" w:hAnsi="Arial" w:cs="Arial"/>
                          <w:sz w:val="20"/>
                          <w:szCs w:val="20"/>
                        </w:rPr>
                        <w:t>phaseout</w:t>
                      </w:r>
                      <w:proofErr w:type="spellEnd"/>
                      <w:r w:rsidRPr="00F211E9">
                        <w:rPr>
                          <w:rFonts w:ascii="Arial" w:hAnsi="Arial" w:cs="Arial"/>
                          <w:sz w:val="20"/>
                          <w:szCs w:val="20"/>
                        </w:rPr>
                        <w:t xml:space="preserve">, taxpayers will always be entitled to at least 20 percent of the total, since the </w:t>
                      </w:r>
                      <w:proofErr w:type="spellStart"/>
                      <w:r w:rsidRPr="00F211E9">
                        <w:rPr>
                          <w:rFonts w:ascii="Arial" w:hAnsi="Arial" w:cs="Arial"/>
                          <w:sz w:val="20"/>
                          <w:szCs w:val="20"/>
                        </w:rPr>
                        <w:t>phaseout</w:t>
                      </w:r>
                      <w:proofErr w:type="spellEnd"/>
                      <w:r w:rsidRPr="00F211E9">
                        <w:rPr>
                          <w:rFonts w:ascii="Arial" w:hAnsi="Arial" w:cs="Arial"/>
                          <w:sz w:val="20"/>
                          <w:szCs w:val="20"/>
                        </w:rPr>
                        <w:t xml:space="preserve"> cannot eliminate more than 80 percent of their itemized deductions.</w:t>
                      </w:r>
                    </w:p>
                    <w:p w:rsidR="0039095A" w:rsidRPr="00F211E9" w:rsidRDefault="0039095A" w:rsidP="0039095A">
                      <w:pPr>
                        <w:rPr>
                          <w:rFonts w:ascii="Arial" w:hAnsi="Arial" w:cs="Arial"/>
                          <w:b/>
                          <w:sz w:val="20"/>
                          <w:szCs w:val="20"/>
                        </w:rPr>
                      </w:pPr>
                      <w:r w:rsidRPr="00F211E9">
                        <w:rPr>
                          <w:rFonts w:ascii="Arial" w:hAnsi="Arial" w:cs="Arial"/>
                          <w:b/>
                          <w:sz w:val="20"/>
                          <w:szCs w:val="20"/>
                        </w:rPr>
                        <w:t>Maximum tax on capital gains and dividends</w:t>
                      </w:r>
                    </w:p>
                    <w:p w:rsidR="0039095A" w:rsidRDefault="0039095A" w:rsidP="0039095A">
                      <w:pPr>
                        <w:rPr>
                          <w:rFonts w:ascii="Arial" w:hAnsi="Arial" w:cs="Arial"/>
                          <w:sz w:val="20"/>
                          <w:szCs w:val="20"/>
                        </w:rPr>
                      </w:pPr>
                      <w:r w:rsidRPr="00F211E9">
                        <w:rPr>
                          <w:rFonts w:ascii="Arial" w:hAnsi="Arial" w:cs="Arial"/>
                          <w:sz w:val="20"/>
                          <w:szCs w:val="20"/>
                        </w:rPr>
                        <w:t>For tax years beginning after 2012, a new 20 percent tax rate will apply to dividends and long-term capital gains for married tax</w:t>
                      </w:r>
                      <w:r w:rsidR="00AA5B8B">
                        <w:rPr>
                          <w:rFonts w:ascii="Arial" w:hAnsi="Arial" w:cs="Arial"/>
                          <w:sz w:val="20"/>
                          <w:szCs w:val="20"/>
                        </w:rPr>
                        <w:t>p</w:t>
                      </w:r>
                      <w:r w:rsidRPr="00F211E9">
                        <w:rPr>
                          <w:rFonts w:ascii="Arial" w:hAnsi="Arial" w:cs="Arial"/>
                          <w:sz w:val="20"/>
                          <w:szCs w:val="20"/>
                        </w:rPr>
                        <w:t>ayers with taxable incomes exceeding $450,000 ($400,000 for single taxpayers) to the extent they exceed these thresholds. For taxpayers between the 25 percent and 39.6 percent brackets, capital gains and dividends will continue to be taxed at 15 percent, while the lower bracket individuals will still enjoy a zero percent tax rate.</w:t>
                      </w:r>
                    </w:p>
                    <w:p w:rsidR="00A93CEC" w:rsidRDefault="0039095A" w:rsidP="0039095A">
                      <w:pPr>
                        <w:rPr>
                          <w:rFonts w:ascii="Arial" w:hAnsi="Arial" w:cs="Arial"/>
                          <w:sz w:val="20"/>
                          <w:szCs w:val="20"/>
                        </w:rPr>
                      </w:pPr>
                      <w:r w:rsidRPr="00F211E9">
                        <w:rPr>
                          <w:rFonts w:ascii="Arial" w:hAnsi="Arial" w:cs="Arial"/>
                          <w:sz w:val="20"/>
                          <w:szCs w:val="20"/>
                        </w:rPr>
                        <w:t>To avoid the effect of the 20 percent tax rate, more people may want to consider electing out of the installment sale method in 2012. In addition, the new 3.8 percent Medicare tax on investment income may apply (see below for more detail).</w:t>
                      </w:r>
                      <w:r w:rsidR="0002235F" w:rsidRPr="0002235F">
                        <w:rPr>
                          <w:rFonts w:ascii="Arial" w:hAnsi="Arial" w:cs="Arial"/>
                          <w:sz w:val="20"/>
                          <w:szCs w:val="20"/>
                        </w:rPr>
                        <w:t xml:space="preserve"> </w:t>
                      </w:r>
                    </w:p>
                    <w:p w:rsidR="00A93CEC" w:rsidRPr="00F211E9" w:rsidRDefault="00A93CEC" w:rsidP="00A93CEC">
                      <w:pPr>
                        <w:rPr>
                          <w:rFonts w:ascii="Arial" w:hAnsi="Arial" w:cs="Arial"/>
                          <w:b/>
                          <w:sz w:val="20"/>
                          <w:szCs w:val="20"/>
                        </w:rPr>
                      </w:pPr>
                      <w:r w:rsidRPr="00F211E9">
                        <w:rPr>
                          <w:rFonts w:ascii="Arial" w:hAnsi="Arial" w:cs="Arial"/>
                          <w:b/>
                          <w:sz w:val="20"/>
                          <w:szCs w:val="20"/>
                        </w:rPr>
                        <w:t>Estate and gift tax rate increases</w:t>
                      </w:r>
                    </w:p>
                    <w:p w:rsidR="0039095A" w:rsidRPr="00F211E9" w:rsidRDefault="00A93CEC" w:rsidP="00282221">
                      <w:pPr>
                        <w:jc w:val="left"/>
                        <w:rPr>
                          <w:rFonts w:ascii="Arial" w:hAnsi="Arial" w:cs="Arial"/>
                          <w:sz w:val="20"/>
                          <w:szCs w:val="20"/>
                        </w:rPr>
                      </w:pPr>
                      <w:r w:rsidRPr="00F211E9">
                        <w:rPr>
                          <w:rFonts w:ascii="Arial" w:hAnsi="Arial" w:cs="Arial"/>
                          <w:sz w:val="20"/>
                          <w:szCs w:val="20"/>
                        </w:rPr>
                        <w:t>For decedents dying and gifts made after Dec. 31, 2012, the top estate and gift tax rate is 40 percent. The estate and gift tax exemption remains unified at $5 million, indexed for inflation. For 2012, the exempt amount is $5.12 million.</w:t>
                      </w:r>
                      <w:r w:rsidR="0018791B" w:rsidRPr="0018791B">
                        <w:rPr>
                          <w:noProof/>
                        </w:rPr>
                        <w:drawing>
                          <wp:inline distT="0" distB="0" distL="0" distR="0">
                            <wp:extent cx="3179067" cy="1401767"/>
                            <wp:effectExtent l="0" t="0" r="254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79067" cy="1401767"/>
                                    </a:xfrm>
                                    <a:prstGeom prst="rect">
                                      <a:avLst/>
                                    </a:prstGeom>
                                    <a:noFill/>
                                    <a:ln>
                                      <a:noFill/>
                                    </a:ln>
                                  </pic:spPr>
                                </pic:pic>
                              </a:graphicData>
                            </a:graphic>
                          </wp:inline>
                        </w:drawing>
                      </w:r>
                    </w:p>
                  </w:txbxContent>
                </v:textbox>
              </v:shape>
            </w:pict>
          </mc:Fallback>
        </mc:AlternateContent>
      </w:r>
      <w:r w:rsidR="001D36FD">
        <w:br w:type="page"/>
      </w:r>
    </w:p>
    <w:p w:rsidR="00021655" w:rsidRDefault="00021655" w:rsidP="008F1A05">
      <w:pPr>
        <w:rPr>
          <w:rFonts w:ascii="Arial" w:hAnsi="Arial" w:cs="Arial"/>
          <w:b/>
          <w:sz w:val="20"/>
          <w:szCs w:val="20"/>
        </w:rPr>
        <w:sectPr w:rsidR="00021655" w:rsidSect="00021655">
          <w:type w:val="continuous"/>
          <w:pgSz w:w="12240" w:h="15840" w:code="1"/>
          <w:pgMar w:top="1080" w:right="810" w:bottom="720" w:left="1296" w:header="720" w:footer="720" w:gutter="0"/>
          <w:pgBorders w:offsetFrom="page">
            <w:top w:val="single" w:sz="48" w:space="24" w:color="000080"/>
            <w:left w:val="single" w:sz="48" w:space="24" w:color="000080"/>
            <w:bottom w:val="single" w:sz="48" w:space="24" w:color="000080"/>
            <w:right w:val="single" w:sz="48" w:space="24" w:color="000080"/>
          </w:pgBorders>
          <w:cols w:num="2" w:space="540"/>
          <w:docGrid w:linePitch="360"/>
        </w:sectPr>
      </w:pPr>
    </w:p>
    <w:p w:rsidR="0002235F" w:rsidRPr="00F211E9" w:rsidRDefault="0002235F" w:rsidP="0002235F">
      <w:pPr>
        <w:ind w:left="-360"/>
        <w:rPr>
          <w:rFonts w:ascii="Arial" w:hAnsi="Arial" w:cs="Arial"/>
          <w:sz w:val="20"/>
          <w:szCs w:val="20"/>
        </w:rPr>
      </w:pPr>
      <w:r w:rsidRPr="00F211E9">
        <w:rPr>
          <w:rFonts w:ascii="Arial" w:hAnsi="Arial" w:cs="Arial"/>
          <w:sz w:val="20"/>
          <w:szCs w:val="20"/>
        </w:rPr>
        <w:lastRenderedPageBreak/>
        <w:t xml:space="preserve">In addition, the act made the portability election permanent. This election allows a surviving spouse’s estate to benefit from the deceased spouse’s unused </w:t>
      </w:r>
      <w:r>
        <w:rPr>
          <w:rFonts w:ascii="Arial" w:hAnsi="Arial" w:cs="Arial"/>
          <w:sz w:val="20"/>
          <w:szCs w:val="20"/>
        </w:rPr>
        <w:t>exemption, providing shelter for married couples.</w:t>
      </w:r>
    </w:p>
    <w:p w:rsidR="008F1A05" w:rsidRPr="00F211E9" w:rsidRDefault="008F1A05" w:rsidP="00465E1F">
      <w:pPr>
        <w:ind w:left="-360"/>
        <w:rPr>
          <w:rFonts w:ascii="Arial" w:hAnsi="Arial" w:cs="Arial"/>
          <w:b/>
          <w:sz w:val="20"/>
          <w:szCs w:val="20"/>
        </w:rPr>
      </w:pPr>
      <w:r w:rsidRPr="00F211E9">
        <w:rPr>
          <w:rFonts w:ascii="Arial" w:hAnsi="Arial" w:cs="Arial"/>
          <w:b/>
          <w:sz w:val="20"/>
          <w:szCs w:val="20"/>
        </w:rPr>
        <w:t>Alternative minimum tax adjusted for inflation</w:t>
      </w:r>
    </w:p>
    <w:p w:rsidR="008F1A05" w:rsidRPr="00F211E9" w:rsidRDefault="008F1A05" w:rsidP="00465E1F">
      <w:pPr>
        <w:ind w:left="-360" w:right="27"/>
        <w:rPr>
          <w:rFonts w:ascii="Arial" w:hAnsi="Arial" w:cs="Arial"/>
          <w:sz w:val="20"/>
          <w:szCs w:val="20"/>
        </w:rPr>
      </w:pPr>
      <w:r w:rsidRPr="00F211E9">
        <w:rPr>
          <w:rFonts w:ascii="Arial" w:hAnsi="Arial" w:cs="Arial"/>
          <w:sz w:val="20"/>
          <w:szCs w:val="20"/>
        </w:rPr>
        <w:t>After years of annually patching the alternative minimum tax (AMT), Congress has finally added an automatic inflation adjustment provision. The act sets the AMT exemption for 2012 at $78,750 for joint filers, $50,600 for unmarried individuals and $39,375 for married people filing separately.</w:t>
      </w:r>
    </w:p>
    <w:p w:rsidR="008F1A05" w:rsidRPr="00F211E9" w:rsidRDefault="008F1A05" w:rsidP="00465E1F">
      <w:pPr>
        <w:ind w:left="-360"/>
        <w:rPr>
          <w:rFonts w:ascii="Arial" w:hAnsi="Arial" w:cs="Arial"/>
          <w:sz w:val="20"/>
          <w:szCs w:val="20"/>
        </w:rPr>
      </w:pPr>
      <w:r w:rsidRPr="008F1A05">
        <w:rPr>
          <w:rFonts w:ascii="Arial" w:hAnsi="Arial" w:cs="Arial"/>
          <w:sz w:val="20"/>
          <w:szCs w:val="20"/>
        </w:rPr>
        <w:t>Beginning in 2013, these amounts are adjusted for</w:t>
      </w:r>
      <w:r>
        <w:rPr>
          <w:rFonts w:ascii="Arial" w:hAnsi="Arial" w:cs="Arial"/>
          <w:sz w:val="20"/>
          <w:szCs w:val="20"/>
        </w:rPr>
        <w:t xml:space="preserve"> </w:t>
      </w:r>
      <w:r w:rsidRPr="00F211E9">
        <w:rPr>
          <w:rFonts w:ascii="Arial" w:hAnsi="Arial" w:cs="Arial"/>
          <w:sz w:val="20"/>
          <w:szCs w:val="20"/>
        </w:rPr>
        <w:t>inflation. Personal nonrefundable credits are able to offset the AMT.</w:t>
      </w:r>
    </w:p>
    <w:p w:rsidR="008F1A05" w:rsidRPr="00F211E9" w:rsidRDefault="008F1A05" w:rsidP="00465E1F">
      <w:pPr>
        <w:ind w:left="-360"/>
        <w:rPr>
          <w:rFonts w:ascii="Arial" w:hAnsi="Arial" w:cs="Arial"/>
          <w:b/>
          <w:sz w:val="20"/>
          <w:szCs w:val="20"/>
        </w:rPr>
      </w:pPr>
      <w:r w:rsidRPr="00F211E9">
        <w:rPr>
          <w:rFonts w:ascii="Arial" w:hAnsi="Arial" w:cs="Arial"/>
          <w:b/>
          <w:sz w:val="20"/>
          <w:szCs w:val="20"/>
        </w:rPr>
        <w:t>Adoption credit/assistance permanently enhanced</w:t>
      </w:r>
    </w:p>
    <w:p w:rsidR="008F1A05" w:rsidRPr="00F211E9" w:rsidRDefault="008F1A05" w:rsidP="00465E1F">
      <w:pPr>
        <w:ind w:left="-360"/>
        <w:rPr>
          <w:rFonts w:ascii="Arial" w:hAnsi="Arial" w:cs="Arial"/>
          <w:sz w:val="20"/>
          <w:szCs w:val="20"/>
        </w:rPr>
      </w:pPr>
      <w:r w:rsidRPr="00F211E9">
        <w:rPr>
          <w:rFonts w:ascii="Arial" w:hAnsi="Arial" w:cs="Arial"/>
          <w:sz w:val="20"/>
          <w:szCs w:val="20"/>
        </w:rPr>
        <w:t>Prior enhancements to the adoption credit and the income exclusion for employer-paid and/or reimbursed adoption expenses are made permanent for both non-special needs and special needs adoption. The credit phases out at specified inflation-adjusted levels of modified adjusted gross income (MAGI).</w:t>
      </w:r>
    </w:p>
    <w:tbl>
      <w:tblPr>
        <w:tblStyle w:val="TableGrid"/>
        <w:tblW w:w="0" w:type="auto"/>
        <w:tblLook w:val="04A0" w:firstRow="1" w:lastRow="0" w:firstColumn="1" w:lastColumn="0" w:noHBand="0" w:noVBand="1"/>
      </w:tblPr>
      <w:tblGrid>
        <w:gridCol w:w="2033"/>
        <w:gridCol w:w="1441"/>
        <w:gridCol w:w="1539"/>
      </w:tblGrid>
      <w:tr w:rsidR="008F1A05" w:rsidRPr="00F211E9" w:rsidTr="009F7B3A">
        <w:tc>
          <w:tcPr>
            <w:tcW w:w="3306" w:type="dxa"/>
          </w:tcPr>
          <w:p w:rsidR="008F1A05" w:rsidRPr="00F211E9" w:rsidRDefault="008F1A05" w:rsidP="009F7B3A">
            <w:pPr>
              <w:jc w:val="center"/>
              <w:rPr>
                <w:rFonts w:ascii="Arial" w:hAnsi="Arial" w:cs="Arial"/>
                <w:sz w:val="20"/>
                <w:szCs w:val="20"/>
              </w:rPr>
            </w:pPr>
          </w:p>
        </w:tc>
        <w:tc>
          <w:tcPr>
            <w:tcW w:w="3135" w:type="dxa"/>
          </w:tcPr>
          <w:p w:rsidR="008F1A05" w:rsidRPr="00F211E9" w:rsidRDefault="008F1A05" w:rsidP="009F7B3A">
            <w:pPr>
              <w:jc w:val="center"/>
              <w:rPr>
                <w:rFonts w:ascii="Arial" w:hAnsi="Arial" w:cs="Arial"/>
                <w:b/>
                <w:sz w:val="20"/>
                <w:szCs w:val="20"/>
              </w:rPr>
            </w:pPr>
            <w:r w:rsidRPr="00F211E9">
              <w:rPr>
                <w:rFonts w:ascii="Arial" w:hAnsi="Arial" w:cs="Arial"/>
                <w:b/>
                <w:sz w:val="20"/>
                <w:szCs w:val="20"/>
              </w:rPr>
              <w:t>2012</w:t>
            </w:r>
          </w:p>
        </w:tc>
        <w:tc>
          <w:tcPr>
            <w:tcW w:w="3135" w:type="dxa"/>
          </w:tcPr>
          <w:p w:rsidR="008F1A05" w:rsidRPr="00F211E9" w:rsidRDefault="008F1A05" w:rsidP="009F7B3A">
            <w:pPr>
              <w:jc w:val="center"/>
              <w:rPr>
                <w:rFonts w:ascii="Arial" w:hAnsi="Arial" w:cs="Arial"/>
                <w:b/>
                <w:sz w:val="20"/>
                <w:szCs w:val="20"/>
              </w:rPr>
            </w:pPr>
            <w:r w:rsidRPr="00F211E9">
              <w:rPr>
                <w:rFonts w:ascii="Arial" w:hAnsi="Arial" w:cs="Arial"/>
                <w:b/>
                <w:sz w:val="20"/>
                <w:szCs w:val="20"/>
              </w:rPr>
              <w:t>2013</w:t>
            </w:r>
          </w:p>
        </w:tc>
      </w:tr>
      <w:tr w:rsidR="008F1A05" w:rsidRPr="00F211E9" w:rsidTr="009F7B3A">
        <w:tc>
          <w:tcPr>
            <w:tcW w:w="3306" w:type="dxa"/>
          </w:tcPr>
          <w:p w:rsidR="008F1A05" w:rsidRPr="00F211E9" w:rsidRDefault="008F1A05" w:rsidP="009F7B3A">
            <w:pPr>
              <w:rPr>
                <w:rFonts w:ascii="Arial" w:hAnsi="Arial" w:cs="Arial"/>
                <w:b/>
                <w:sz w:val="20"/>
                <w:szCs w:val="20"/>
              </w:rPr>
            </w:pPr>
            <w:r w:rsidRPr="00F211E9">
              <w:rPr>
                <w:rFonts w:ascii="Arial" w:hAnsi="Arial" w:cs="Arial"/>
                <w:b/>
                <w:sz w:val="20"/>
                <w:szCs w:val="20"/>
              </w:rPr>
              <w:t>Maximum credit/exclusion</w:t>
            </w:r>
          </w:p>
        </w:tc>
        <w:tc>
          <w:tcPr>
            <w:tcW w:w="3135" w:type="dxa"/>
          </w:tcPr>
          <w:p w:rsidR="008F1A05" w:rsidRPr="00F211E9" w:rsidRDefault="008F1A05" w:rsidP="009F7B3A">
            <w:pPr>
              <w:jc w:val="center"/>
              <w:rPr>
                <w:rFonts w:ascii="Arial" w:hAnsi="Arial" w:cs="Arial"/>
                <w:sz w:val="20"/>
                <w:szCs w:val="20"/>
              </w:rPr>
            </w:pPr>
            <w:r w:rsidRPr="00F211E9">
              <w:rPr>
                <w:rFonts w:ascii="Arial" w:hAnsi="Arial" w:cs="Arial"/>
                <w:sz w:val="20"/>
                <w:szCs w:val="20"/>
              </w:rPr>
              <w:t>$12,650</w:t>
            </w:r>
          </w:p>
        </w:tc>
        <w:tc>
          <w:tcPr>
            <w:tcW w:w="3135" w:type="dxa"/>
          </w:tcPr>
          <w:p w:rsidR="008F1A05" w:rsidRPr="00F211E9" w:rsidRDefault="008F1A05" w:rsidP="009F7B3A">
            <w:pPr>
              <w:jc w:val="center"/>
              <w:rPr>
                <w:rFonts w:ascii="Arial" w:hAnsi="Arial" w:cs="Arial"/>
                <w:sz w:val="20"/>
                <w:szCs w:val="20"/>
              </w:rPr>
            </w:pPr>
            <w:r w:rsidRPr="00F211E9">
              <w:rPr>
                <w:rFonts w:ascii="Arial" w:hAnsi="Arial" w:cs="Arial"/>
                <w:sz w:val="20"/>
                <w:szCs w:val="20"/>
              </w:rPr>
              <w:t>$12,770 (projected)</w:t>
            </w:r>
          </w:p>
        </w:tc>
      </w:tr>
      <w:tr w:rsidR="008F1A05" w:rsidRPr="00F211E9" w:rsidTr="009F7B3A">
        <w:tc>
          <w:tcPr>
            <w:tcW w:w="3306" w:type="dxa"/>
          </w:tcPr>
          <w:p w:rsidR="008F1A05" w:rsidRPr="00F211E9" w:rsidRDefault="008F1A05" w:rsidP="009F7B3A">
            <w:pPr>
              <w:rPr>
                <w:rFonts w:ascii="Arial" w:hAnsi="Arial" w:cs="Arial"/>
                <w:b/>
                <w:sz w:val="20"/>
                <w:szCs w:val="20"/>
              </w:rPr>
            </w:pPr>
            <w:proofErr w:type="spellStart"/>
            <w:r w:rsidRPr="00F211E9">
              <w:rPr>
                <w:rFonts w:ascii="Arial" w:hAnsi="Arial" w:cs="Arial"/>
                <w:b/>
                <w:sz w:val="20"/>
                <w:szCs w:val="20"/>
              </w:rPr>
              <w:t>Phaseout</w:t>
            </w:r>
            <w:proofErr w:type="spellEnd"/>
            <w:r w:rsidRPr="00F211E9">
              <w:rPr>
                <w:rFonts w:ascii="Arial" w:hAnsi="Arial" w:cs="Arial"/>
                <w:b/>
                <w:sz w:val="20"/>
                <w:szCs w:val="20"/>
              </w:rPr>
              <w:t xml:space="preserve"> begins at MAGI of</w:t>
            </w:r>
          </w:p>
        </w:tc>
        <w:tc>
          <w:tcPr>
            <w:tcW w:w="3135" w:type="dxa"/>
          </w:tcPr>
          <w:p w:rsidR="008F1A05" w:rsidRPr="00F211E9" w:rsidRDefault="008F1A05" w:rsidP="009F7B3A">
            <w:pPr>
              <w:jc w:val="center"/>
              <w:rPr>
                <w:rFonts w:ascii="Arial" w:hAnsi="Arial" w:cs="Arial"/>
                <w:sz w:val="20"/>
                <w:szCs w:val="20"/>
              </w:rPr>
            </w:pPr>
            <w:r w:rsidRPr="00F211E9">
              <w:rPr>
                <w:rFonts w:ascii="Arial" w:hAnsi="Arial" w:cs="Arial"/>
                <w:sz w:val="20"/>
                <w:szCs w:val="20"/>
              </w:rPr>
              <w:t>$189,710</w:t>
            </w:r>
          </w:p>
        </w:tc>
        <w:tc>
          <w:tcPr>
            <w:tcW w:w="3135" w:type="dxa"/>
          </w:tcPr>
          <w:p w:rsidR="008F1A05" w:rsidRPr="00F211E9" w:rsidRDefault="008F1A05" w:rsidP="009F7B3A">
            <w:pPr>
              <w:jc w:val="center"/>
              <w:rPr>
                <w:rFonts w:ascii="Arial" w:hAnsi="Arial" w:cs="Arial"/>
                <w:sz w:val="20"/>
                <w:szCs w:val="20"/>
              </w:rPr>
            </w:pPr>
            <w:r w:rsidRPr="00F211E9">
              <w:rPr>
                <w:rFonts w:ascii="Arial" w:hAnsi="Arial" w:cs="Arial"/>
                <w:sz w:val="20"/>
                <w:szCs w:val="20"/>
              </w:rPr>
              <w:t>$191,530 (projected)</w:t>
            </w:r>
          </w:p>
        </w:tc>
      </w:tr>
    </w:tbl>
    <w:p w:rsidR="002859CE" w:rsidRDefault="002859CE" w:rsidP="002859CE">
      <w:pPr>
        <w:rPr>
          <w:rFonts w:ascii="Arial" w:hAnsi="Arial" w:cs="Arial"/>
          <w:sz w:val="20"/>
          <w:szCs w:val="20"/>
        </w:rPr>
      </w:pPr>
    </w:p>
    <w:p w:rsidR="008F1A05" w:rsidRPr="00F211E9" w:rsidRDefault="008F1A05" w:rsidP="00E556F8">
      <w:pPr>
        <w:rPr>
          <w:rFonts w:ascii="Arial" w:hAnsi="Arial" w:cs="Arial"/>
          <w:b/>
          <w:sz w:val="20"/>
          <w:szCs w:val="20"/>
        </w:rPr>
      </w:pPr>
      <w:r w:rsidRPr="00F211E9">
        <w:rPr>
          <w:rFonts w:ascii="Arial" w:hAnsi="Arial" w:cs="Arial"/>
          <w:b/>
          <w:sz w:val="20"/>
          <w:szCs w:val="20"/>
        </w:rPr>
        <w:t>Charitable distributions from IRAs reinstated</w:t>
      </w:r>
    </w:p>
    <w:p w:rsidR="008F1A05" w:rsidRPr="00F211E9" w:rsidRDefault="008F1A05" w:rsidP="00465E1F">
      <w:pPr>
        <w:ind w:left="-360"/>
        <w:rPr>
          <w:rFonts w:ascii="Arial" w:hAnsi="Arial" w:cs="Arial"/>
          <w:sz w:val="20"/>
          <w:szCs w:val="20"/>
        </w:rPr>
      </w:pPr>
      <w:r w:rsidRPr="00F211E9">
        <w:rPr>
          <w:rFonts w:ascii="Arial" w:hAnsi="Arial" w:cs="Arial"/>
          <w:sz w:val="20"/>
          <w:szCs w:val="20"/>
        </w:rPr>
        <w:t>The provision allowing individuals age 70½ and older to contribute up to $100,000 from their IRA to charity without having to include the distribution as income had expired at the end of 2011. The act reinstates this provision for 2012 and 2013.</w:t>
      </w:r>
    </w:p>
    <w:p w:rsidR="008F1A05" w:rsidRPr="00F211E9" w:rsidRDefault="008F1A05" w:rsidP="00465E1F">
      <w:pPr>
        <w:ind w:left="-360"/>
        <w:rPr>
          <w:rFonts w:ascii="Arial" w:hAnsi="Arial" w:cs="Arial"/>
          <w:sz w:val="20"/>
          <w:szCs w:val="20"/>
        </w:rPr>
      </w:pPr>
      <w:r w:rsidRPr="00F211E9">
        <w:rPr>
          <w:rFonts w:ascii="Arial" w:hAnsi="Arial" w:cs="Arial"/>
          <w:sz w:val="20"/>
          <w:szCs w:val="20"/>
        </w:rPr>
        <w:t>Because passage occurred after Dec. 31, 2012, the act contains two important savings provisions:</w:t>
      </w:r>
    </w:p>
    <w:p w:rsidR="008F1A05" w:rsidRPr="00F211E9" w:rsidRDefault="008F1A05" w:rsidP="00465E1F">
      <w:pPr>
        <w:pStyle w:val="ListParagraph"/>
        <w:numPr>
          <w:ilvl w:val="0"/>
          <w:numId w:val="31"/>
        </w:numPr>
        <w:ind w:left="0"/>
        <w:rPr>
          <w:rFonts w:ascii="Arial" w:hAnsi="Arial" w:cs="Arial"/>
          <w:sz w:val="20"/>
          <w:szCs w:val="20"/>
        </w:rPr>
      </w:pPr>
      <w:r w:rsidRPr="00F211E9">
        <w:rPr>
          <w:rFonts w:ascii="Arial" w:hAnsi="Arial" w:cs="Arial"/>
          <w:sz w:val="20"/>
          <w:szCs w:val="20"/>
        </w:rPr>
        <w:t xml:space="preserve">Charitable contributions made from an IRA to a charity before Feb. 1, 2013, can be designated as a 2012 contribution. </w:t>
      </w:r>
    </w:p>
    <w:p w:rsidR="008F1A05" w:rsidRPr="00F211E9" w:rsidRDefault="008F1A05" w:rsidP="00465E1F">
      <w:pPr>
        <w:pStyle w:val="ListParagraph"/>
        <w:numPr>
          <w:ilvl w:val="0"/>
          <w:numId w:val="31"/>
        </w:numPr>
        <w:ind w:left="0"/>
        <w:rPr>
          <w:rFonts w:ascii="Arial" w:hAnsi="Arial" w:cs="Arial"/>
          <w:sz w:val="20"/>
          <w:szCs w:val="20"/>
        </w:rPr>
      </w:pPr>
      <w:r w:rsidRPr="00F211E9">
        <w:rPr>
          <w:rFonts w:ascii="Arial" w:hAnsi="Arial" w:cs="Arial"/>
          <w:sz w:val="20"/>
          <w:szCs w:val="20"/>
        </w:rPr>
        <w:t xml:space="preserve">Cash distributions received from an IRA during December 2012 can be treated as a direct contribution from the IRA to a charity to the extent that amount is actually contributed to a charity prior to Feb. 1, 2013. </w:t>
      </w:r>
    </w:p>
    <w:p w:rsidR="00A93CEC" w:rsidRDefault="0018791B" w:rsidP="0018791B">
      <w:pPr>
        <w:ind w:left="450"/>
        <w:rPr>
          <w:rFonts w:ascii="Arial" w:hAnsi="Arial" w:cs="Arial"/>
          <w:b/>
          <w:sz w:val="20"/>
          <w:szCs w:val="20"/>
        </w:rPr>
      </w:pPr>
      <w:r>
        <w:rPr>
          <w:rFonts w:ascii="Arial" w:hAnsi="Arial" w:cs="Arial"/>
          <w:b/>
          <w:noProof/>
          <w:sz w:val="20"/>
          <w:szCs w:val="20"/>
        </w:rPr>
        <w:lastRenderedPageBreak/>
        <w:drawing>
          <wp:inline distT="0" distB="0" distL="0" distR="0">
            <wp:extent cx="2468158" cy="1745673"/>
            <wp:effectExtent l="0" t="0" r="8890" b="6985"/>
            <wp:docPr id="12" name="Picture 12" descr="C:\Users\RobertR\Desktop\10590158-cha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obertR\Desktop\10590158-charit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7749" cy="1752456"/>
                    </a:xfrm>
                    <a:prstGeom prst="rect">
                      <a:avLst/>
                    </a:prstGeom>
                    <a:noFill/>
                    <a:ln>
                      <a:noFill/>
                    </a:ln>
                  </pic:spPr>
                </pic:pic>
              </a:graphicData>
            </a:graphic>
          </wp:inline>
        </w:drawing>
      </w:r>
    </w:p>
    <w:p w:rsidR="008F1A05" w:rsidRPr="00F211E9" w:rsidRDefault="008F1A05" w:rsidP="00282221">
      <w:pPr>
        <w:ind w:right="297"/>
        <w:rPr>
          <w:rFonts w:ascii="Arial" w:hAnsi="Arial" w:cs="Arial"/>
          <w:b/>
          <w:sz w:val="20"/>
          <w:szCs w:val="20"/>
        </w:rPr>
      </w:pPr>
      <w:r w:rsidRPr="00F211E9">
        <w:rPr>
          <w:rFonts w:ascii="Arial" w:hAnsi="Arial" w:cs="Arial"/>
          <w:b/>
          <w:sz w:val="20"/>
          <w:szCs w:val="20"/>
        </w:rPr>
        <w:t>Personal tax credits extended</w:t>
      </w:r>
    </w:p>
    <w:p w:rsidR="008F1A05" w:rsidRPr="00F211E9" w:rsidRDefault="008F1A05" w:rsidP="00282221">
      <w:pPr>
        <w:ind w:right="297"/>
        <w:rPr>
          <w:rFonts w:ascii="Arial" w:hAnsi="Arial" w:cs="Arial"/>
          <w:sz w:val="20"/>
          <w:szCs w:val="20"/>
        </w:rPr>
      </w:pPr>
      <w:r w:rsidRPr="00F211E9">
        <w:rPr>
          <w:rFonts w:ascii="Arial" w:hAnsi="Arial" w:cs="Arial"/>
          <w:sz w:val="20"/>
          <w:szCs w:val="20"/>
        </w:rPr>
        <w:t>These credits are extended through 2017:</w:t>
      </w:r>
    </w:p>
    <w:p w:rsidR="008F1A05" w:rsidRPr="00F211E9" w:rsidRDefault="008F1A05" w:rsidP="00282221">
      <w:pPr>
        <w:pStyle w:val="ListParagraph"/>
        <w:numPr>
          <w:ilvl w:val="0"/>
          <w:numId w:val="32"/>
        </w:numPr>
        <w:ind w:left="360" w:right="297"/>
        <w:rPr>
          <w:rFonts w:ascii="Arial" w:hAnsi="Arial" w:cs="Arial"/>
          <w:sz w:val="20"/>
          <w:szCs w:val="20"/>
        </w:rPr>
      </w:pPr>
      <w:r w:rsidRPr="00F211E9">
        <w:rPr>
          <w:rFonts w:ascii="Arial" w:hAnsi="Arial" w:cs="Arial"/>
          <w:sz w:val="20"/>
          <w:szCs w:val="20"/>
        </w:rPr>
        <w:t>The $1,000 child tax credit</w:t>
      </w:r>
    </w:p>
    <w:p w:rsidR="008F1A05" w:rsidRPr="00F211E9" w:rsidRDefault="008F1A05" w:rsidP="00282221">
      <w:pPr>
        <w:pStyle w:val="ListParagraph"/>
        <w:numPr>
          <w:ilvl w:val="0"/>
          <w:numId w:val="32"/>
        </w:numPr>
        <w:tabs>
          <w:tab w:val="left" w:pos="360"/>
        </w:tabs>
        <w:ind w:left="360" w:right="297"/>
        <w:rPr>
          <w:rFonts w:ascii="Arial" w:hAnsi="Arial" w:cs="Arial"/>
          <w:sz w:val="20"/>
          <w:szCs w:val="20"/>
        </w:rPr>
      </w:pPr>
      <w:r w:rsidRPr="00F211E9">
        <w:rPr>
          <w:rFonts w:ascii="Arial" w:hAnsi="Arial" w:cs="Arial"/>
          <w:sz w:val="20"/>
          <w:szCs w:val="20"/>
        </w:rPr>
        <w:t>The enhanced earned income tax credit</w:t>
      </w:r>
    </w:p>
    <w:p w:rsidR="008F1A05" w:rsidRPr="00F211E9" w:rsidRDefault="008F1A05" w:rsidP="00282221">
      <w:pPr>
        <w:pStyle w:val="ListParagraph"/>
        <w:numPr>
          <w:ilvl w:val="0"/>
          <w:numId w:val="32"/>
        </w:numPr>
        <w:tabs>
          <w:tab w:val="left" w:pos="360"/>
        </w:tabs>
        <w:ind w:left="360" w:right="297"/>
        <w:rPr>
          <w:rFonts w:ascii="Arial" w:hAnsi="Arial" w:cs="Arial"/>
          <w:sz w:val="20"/>
          <w:szCs w:val="20"/>
        </w:rPr>
      </w:pPr>
      <w:r w:rsidRPr="00F211E9">
        <w:rPr>
          <w:rFonts w:ascii="Arial" w:hAnsi="Arial" w:cs="Arial"/>
          <w:sz w:val="20"/>
          <w:szCs w:val="20"/>
        </w:rPr>
        <w:t>The enhanced American Opportunity credit for college tuition</w:t>
      </w:r>
    </w:p>
    <w:p w:rsidR="008F1A05" w:rsidRPr="00F211E9" w:rsidRDefault="008F1A05" w:rsidP="00282221">
      <w:pPr>
        <w:ind w:right="297"/>
        <w:rPr>
          <w:rFonts w:ascii="Arial" w:hAnsi="Arial" w:cs="Arial"/>
          <w:b/>
          <w:sz w:val="20"/>
          <w:szCs w:val="20"/>
        </w:rPr>
      </w:pPr>
      <w:r w:rsidRPr="00F211E9">
        <w:rPr>
          <w:rFonts w:ascii="Arial" w:hAnsi="Arial" w:cs="Arial"/>
          <w:b/>
          <w:sz w:val="20"/>
          <w:szCs w:val="20"/>
        </w:rPr>
        <w:t>Other expired tax provisions extended for two years</w:t>
      </w:r>
    </w:p>
    <w:p w:rsidR="008F1A05" w:rsidRPr="00F211E9" w:rsidRDefault="008F1A05" w:rsidP="00282221">
      <w:pPr>
        <w:ind w:right="297"/>
        <w:rPr>
          <w:rFonts w:ascii="Arial" w:hAnsi="Arial" w:cs="Arial"/>
          <w:sz w:val="20"/>
          <w:szCs w:val="20"/>
        </w:rPr>
      </w:pPr>
      <w:r w:rsidRPr="00F211E9">
        <w:rPr>
          <w:rFonts w:ascii="Arial" w:hAnsi="Arial" w:cs="Arial"/>
          <w:sz w:val="20"/>
          <w:szCs w:val="20"/>
        </w:rPr>
        <w:t>The following provisions, which expired at the end of 2011, are extended for 2012 and 2013:</w:t>
      </w:r>
    </w:p>
    <w:p w:rsidR="008F1A05" w:rsidRPr="00F211E9" w:rsidRDefault="008F1A05" w:rsidP="00282221">
      <w:pPr>
        <w:pStyle w:val="ListParagraph"/>
        <w:numPr>
          <w:ilvl w:val="0"/>
          <w:numId w:val="30"/>
        </w:numPr>
        <w:ind w:right="297"/>
        <w:rPr>
          <w:rFonts w:ascii="Arial" w:hAnsi="Arial" w:cs="Arial"/>
          <w:sz w:val="20"/>
          <w:szCs w:val="20"/>
        </w:rPr>
      </w:pPr>
      <w:r w:rsidRPr="00F211E9">
        <w:rPr>
          <w:rFonts w:ascii="Arial" w:hAnsi="Arial" w:cs="Arial"/>
          <w:sz w:val="20"/>
          <w:szCs w:val="20"/>
        </w:rPr>
        <w:t>The exclusion from income for discharged home mortgage debt</w:t>
      </w:r>
    </w:p>
    <w:p w:rsidR="008F1A05" w:rsidRPr="00F211E9" w:rsidRDefault="008F1A05" w:rsidP="00282221">
      <w:pPr>
        <w:pStyle w:val="ListParagraph"/>
        <w:numPr>
          <w:ilvl w:val="0"/>
          <w:numId w:val="30"/>
        </w:numPr>
        <w:ind w:right="297"/>
        <w:rPr>
          <w:rFonts w:ascii="Arial" w:hAnsi="Arial" w:cs="Arial"/>
          <w:sz w:val="20"/>
          <w:szCs w:val="20"/>
        </w:rPr>
      </w:pPr>
      <w:r w:rsidRPr="00F211E9">
        <w:rPr>
          <w:rFonts w:ascii="Arial" w:hAnsi="Arial" w:cs="Arial"/>
          <w:sz w:val="20"/>
          <w:szCs w:val="20"/>
        </w:rPr>
        <w:t>The up-to-$250 non-itemized deduction available to teachers who purchase classroom supplies</w:t>
      </w:r>
    </w:p>
    <w:p w:rsidR="008F1A05" w:rsidRPr="00F211E9" w:rsidRDefault="008F1A05" w:rsidP="00282221">
      <w:pPr>
        <w:pStyle w:val="ListParagraph"/>
        <w:numPr>
          <w:ilvl w:val="0"/>
          <w:numId w:val="30"/>
        </w:numPr>
        <w:ind w:right="297"/>
        <w:rPr>
          <w:rFonts w:ascii="Arial" w:hAnsi="Arial" w:cs="Arial"/>
          <w:sz w:val="20"/>
          <w:szCs w:val="20"/>
        </w:rPr>
      </w:pPr>
      <w:r w:rsidRPr="00F211E9">
        <w:rPr>
          <w:rFonts w:ascii="Arial" w:hAnsi="Arial" w:cs="Arial"/>
          <w:sz w:val="20"/>
          <w:szCs w:val="20"/>
        </w:rPr>
        <w:t>The itemized deduction for mortgage insurance premiums</w:t>
      </w:r>
    </w:p>
    <w:p w:rsidR="008F1A05" w:rsidRPr="00F211E9" w:rsidRDefault="008F1A05" w:rsidP="00282221">
      <w:pPr>
        <w:pStyle w:val="ListParagraph"/>
        <w:numPr>
          <w:ilvl w:val="0"/>
          <w:numId w:val="30"/>
        </w:numPr>
        <w:ind w:right="297"/>
        <w:rPr>
          <w:rFonts w:ascii="Arial" w:hAnsi="Arial" w:cs="Arial"/>
          <w:sz w:val="20"/>
          <w:szCs w:val="20"/>
        </w:rPr>
      </w:pPr>
      <w:r w:rsidRPr="00F211E9">
        <w:rPr>
          <w:rFonts w:ascii="Arial" w:hAnsi="Arial" w:cs="Arial"/>
          <w:sz w:val="20"/>
          <w:szCs w:val="20"/>
        </w:rPr>
        <w:t>The alternate itemized deduction for state and local sales taxes in lieu of state and local income taxes (This provision primarily benefits residents of states without an income tax.)</w:t>
      </w:r>
    </w:p>
    <w:p w:rsidR="008F1A05" w:rsidRPr="00F211E9" w:rsidRDefault="008F1A05" w:rsidP="00282221">
      <w:pPr>
        <w:pStyle w:val="ListParagraph"/>
        <w:numPr>
          <w:ilvl w:val="0"/>
          <w:numId w:val="30"/>
        </w:numPr>
        <w:ind w:right="297"/>
        <w:rPr>
          <w:rFonts w:ascii="Arial" w:hAnsi="Arial" w:cs="Arial"/>
          <w:sz w:val="20"/>
          <w:szCs w:val="20"/>
        </w:rPr>
      </w:pPr>
      <w:r w:rsidRPr="00F211E9">
        <w:rPr>
          <w:rFonts w:ascii="Arial" w:hAnsi="Arial" w:cs="Arial"/>
          <w:sz w:val="20"/>
          <w:szCs w:val="20"/>
        </w:rPr>
        <w:t>The $4,000 non-itemized deduction for college tuition and fees</w:t>
      </w:r>
    </w:p>
    <w:p w:rsidR="008F1A05" w:rsidRPr="00F211E9" w:rsidRDefault="008F1A05" w:rsidP="00282221">
      <w:pPr>
        <w:autoSpaceDE w:val="0"/>
        <w:autoSpaceDN w:val="0"/>
        <w:adjustRightInd w:val="0"/>
        <w:spacing w:after="0" w:line="240" w:lineRule="auto"/>
        <w:ind w:right="297"/>
        <w:rPr>
          <w:rFonts w:ascii="Arial" w:hAnsi="Arial" w:cs="Arial"/>
          <w:b/>
          <w:sz w:val="20"/>
          <w:szCs w:val="20"/>
        </w:rPr>
      </w:pPr>
      <w:r w:rsidRPr="00F211E9">
        <w:rPr>
          <w:rFonts w:ascii="Arial" w:hAnsi="Arial" w:cs="Arial"/>
          <w:b/>
          <w:sz w:val="20"/>
          <w:szCs w:val="20"/>
        </w:rPr>
        <w:t>Various temporary tax provisions made permanent</w:t>
      </w:r>
    </w:p>
    <w:p w:rsidR="008F1A05" w:rsidRPr="00F211E9" w:rsidRDefault="008F1A05" w:rsidP="00282221">
      <w:pPr>
        <w:autoSpaceDE w:val="0"/>
        <w:autoSpaceDN w:val="0"/>
        <w:adjustRightInd w:val="0"/>
        <w:spacing w:after="0" w:line="240" w:lineRule="auto"/>
        <w:ind w:right="297"/>
        <w:rPr>
          <w:rFonts w:ascii="Arial" w:hAnsi="Arial" w:cs="Arial"/>
          <w:sz w:val="20"/>
          <w:szCs w:val="20"/>
        </w:rPr>
      </w:pPr>
    </w:p>
    <w:p w:rsidR="008F1A05" w:rsidRPr="00F211E9" w:rsidRDefault="008F1A05" w:rsidP="00282221">
      <w:pPr>
        <w:autoSpaceDE w:val="0"/>
        <w:autoSpaceDN w:val="0"/>
        <w:adjustRightInd w:val="0"/>
        <w:spacing w:after="0" w:line="240" w:lineRule="auto"/>
        <w:ind w:right="297"/>
        <w:rPr>
          <w:rFonts w:ascii="Arial" w:hAnsi="Arial" w:cs="Arial"/>
          <w:sz w:val="20"/>
          <w:szCs w:val="20"/>
        </w:rPr>
      </w:pPr>
      <w:r w:rsidRPr="00F211E9">
        <w:rPr>
          <w:rFonts w:ascii="Arial" w:hAnsi="Arial" w:cs="Arial"/>
          <w:sz w:val="20"/>
          <w:szCs w:val="20"/>
        </w:rPr>
        <w:t>Temporary tax provisions that are now permanent include:</w:t>
      </w:r>
    </w:p>
    <w:p w:rsidR="008F1A05" w:rsidRPr="00F211E9" w:rsidRDefault="008F1A05" w:rsidP="00282221">
      <w:pPr>
        <w:autoSpaceDE w:val="0"/>
        <w:autoSpaceDN w:val="0"/>
        <w:adjustRightInd w:val="0"/>
        <w:spacing w:after="0" w:line="240" w:lineRule="auto"/>
        <w:ind w:right="297"/>
        <w:rPr>
          <w:rFonts w:ascii="Arial" w:hAnsi="Arial" w:cs="Arial"/>
          <w:sz w:val="20"/>
          <w:szCs w:val="20"/>
        </w:rPr>
      </w:pPr>
    </w:p>
    <w:p w:rsidR="008F1A05" w:rsidRPr="00F211E9" w:rsidRDefault="008F1A05" w:rsidP="00282221">
      <w:pPr>
        <w:pStyle w:val="ListParagraph"/>
        <w:numPr>
          <w:ilvl w:val="0"/>
          <w:numId w:val="30"/>
        </w:numPr>
        <w:autoSpaceDE w:val="0"/>
        <w:autoSpaceDN w:val="0"/>
        <w:adjustRightInd w:val="0"/>
        <w:spacing w:after="0" w:line="240" w:lineRule="auto"/>
        <w:ind w:right="297"/>
        <w:rPr>
          <w:rFonts w:ascii="Arial" w:hAnsi="Arial" w:cs="Arial"/>
          <w:sz w:val="20"/>
          <w:szCs w:val="20"/>
        </w:rPr>
      </w:pPr>
      <w:r w:rsidRPr="00F211E9">
        <w:rPr>
          <w:rFonts w:ascii="Arial" w:hAnsi="Arial" w:cs="Arial"/>
          <w:sz w:val="20"/>
          <w:szCs w:val="20"/>
        </w:rPr>
        <w:t>Some marriage penalty relief (i.e., the increased size of the 15 percent rate bracket and increased standard deduction for married taxpayers filing jointly), although many newly enacted provisions exacerbate the marriage penalty because the income thresholds that cause married couples to pay higher taxes are set far lower than double the comparable threshold for unmarried individuals</w:t>
      </w:r>
    </w:p>
    <w:p w:rsidR="008F1A05" w:rsidRPr="00F211E9" w:rsidRDefault="008F1A05" w:rsidP="001C2B7F">
      <w:pPr>
        <w:pStyle w:val="ListParagraph"/>
        <w:numPr>
          <w:ilvl w:val="0"/>
          <w:numId w:val="30"/>
        </w:numPr>
        <w:autoSpaceDE w:val="0"/>
        <w:autoSpaceDN w:val="0"/>
        <w:adjustRightInd w:val="0"/>
        <w:spacing w:after="0" w:line="240" w:lineRule="auto"/>
        <w:ind w:left="0" w:right="117"/>
        <w:rPr>
          <w:rFonts w:ascii="Arial" w:hAnsi="Arial" w:cs="Arial"/>
          <w:sz w:val="20"/>
          <w:szCs w:val="20"/>
        </w:rPr>
      </w:pPr>
      <w:r w:rsidRPr="00F211E9">
        <w:rPr>
          <w:rFonts w:ascii="Arial" w:hAnsi="Arial" w:cs="Arial"/>
          <w:sz w:val="20"/>
          <w:szCs w:val="20"/>
        </w:rPr>
        <w:lastRenderedPageBreak/>
        <w:t>The liberalized child and dependent care credit rules that allow the credit to be calculated based on up to $3,000 of expenses for one dependent or up to $6,000 for more than one dependent</w:t>
      </w:r>
    </w:p>
    <w:p w:rsidR="008F1A05" w:rsidRPr="00F211E9" w:rsidRDefault="008F1A05" w:rsidP="001C2B7F">
      <w:pPr>
        <w:pStyle w:val="ListParagraph"/>
        <w:numPr>
          <w:ilvl w:val="0"/>
          <w:numId w:val="30"/>
        </w:numPr>
        <w:ind w:left="0" w:right="117"/>
        <w:rPr>
          <w:rFonts w:ascii="Arial" w:hAnsi="Arial" w:cs="Arial"/>
          <w:sz w:val="20"/>
          <w:szCs w:val="20"/>
        </w:rPr>
      </w:pPr>
      <w:r w:rsidRPr="00F211E9">
        <w:rPr>
          <w:rFonts w:ascii="Arial" w:hAnsi="Arial" w:cs="Arial"/>
          <w:sz w:val="20"/>
          <w:szCs w:val="20"/>
        </w:rPr>
        <w:t>The exclusion of up to $5,250 for employer-provided educational assistance</w:t>
      </w:r>
    </w:p>
    <w:p w:rsidR="008F1A05" w:rsidRDefault="008F1A05" w:rsidP="001C2B7F">
      <w:pPr>
        <w:pStyle w:val="ListParagraph"/>
        <w:numPr>
          <w:ilvl w:val="0"/>
          <w:numId w:val="30"/>
        </w:numPr>
        <w:ind w:left="0" w:right="117"/>
        <w:rPr>
          <w:rFonts w:ascii="Arial" w:hAnsi="Arial" w:cs="Arial"/>
          <w:sz w:val="20"/>
          <w:szCs w:val="20"/>
        </w:rPr>
      </w:pPr>
      <w:r w:rsidRPr="00F211E9">
        <w:rPr>
          <w:rFonts w:ascii="Arial" w:hAnsi="Arial" w:cs="Arial"/>
          <w:sz w:val="20"/>
          <w:szCs w:val="20"/>
        </w:rPr>
        <w:t>The enhancements to Coverdell education savings accounts</w:t>
      </w:r>
    </w:p>
    <w:p w:rsidR="0018791B" w:rsidRDefault="0018791B" w:rsidP="0018791B">
      <w:pPr>
        <w:ind w:left="810" w:right="117"/>
        <w:rPr>
          <w:rFonts w:ascii="Arial" w:hAnsi="Arial" w:cs="Arial"/>
          <w:sz w:val="20"/>
          <w:szCs w:val="20"/>
        </w:rPr>
      </w:pPr>
      <w:r>
        <w:rPr>
          <w:rFonts w:ascii="Arial" w:hAnsi="Arial" w:cs="Arial"/>
          <w:noProof/>
          <w:sz w:val="20"/>
          <w:szCs w:val="20"/>
        </w:rPr>
        <w:drawing>
          <wp:inline distT="0" distB="0" distL="0" distR="0">
            <wp:extent cx="1922318" cy="1922318"/>
            <wp:effectExtent l="0" t="0" r="1905" b="1905"/>
            <wp:docPr id="13" name="Picture 13" descr="C:\Users\RobertR\Desktop\614759-taxes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obertR\Desktop\614759-taxes01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2318" cy="1922318"/>
                    </a:xfrm>
                    <a:prstGeom prst="rect">
                      <a:avLst/>
                    </a:prstGeom>
                    <a:noFill/>
                    <a:ln>
                      <a:noFill/>
                    </a:ln>
                  </pic:spPr>
                </pic:pic>
              </a:graphicData>
            </a:graphic>
          </wp:inline>
        </w:drawing>
      </w:r>
    </w:p>
    <w:p w:rsidR="00AA5B8B" w:rsidRDefault="00AA5B8B" w:rsidP="001C2B7F">
      <w:pPr>
        <w:ind w:left="-360" w:right="117"/>
        <w:rPr>
          <w:rFonts w:ascii="Arial" w:hAnsi="Arial" w:cs="Arial"/>
          <w:b/>
          <w:sz w:val="20"/>
          <w:szCs w:val="20"/>
        </w:rPr>
      </w:pPr>
      <w:r>
        <w:rPr>
          <w:rFonts w:ascii="Arial" w:hAnsi="Arial" w:cs="Arial"/>
          <w:b/>
          <w:sz w:val="20"/>
          <w:szCs w:val="20"/>
        </w:rPr>
        <w:t xml:space="preserve">Payroll tax holiday allowed </w:t>
      </w:r>
      <w:proofErr w:type="gramStart"/>
      <w:r>
        <w:rPr>
          <w:rFonts w:ascii="Arial" w:hAnsi="Arial" w:cs="Arial"/>
          <w:b/>
          <w:sz w:val="20"/>
          <w:szCs w:val="20"/>
        </w:rPr>
        <w:t xml:space="preserve">to </w:t>
      </w:r>
      <w:r w:rsidR="008F1A05" w:rsidRPr="00F211E9">
        <w:rPr>
          <w:rFonts w:ascii="Arial" w:hAnsi="Arial" w:cs="Arial"/>
          <w:b/>
          <w:sz w:val="20"/>
          <w:szCs w:val="20"/>
        </w:rPr>
        <w:t>expire</w:t>
      </w:r>
      <w:proofErr w:type="gramEnd"/>
    </w:p>
    <w:p w:rsidR="002859CE" w:rsidRDefault="008F1A05" w:rsidP="001C2B7F">
      <w:pPr>
        <w:ind w:left="-360" w:right="117"/>
        <w:rPr>
          <w:rFonts w:ascii="Arial" w:eastAsia="Times New Roman" w:hAnsi="Arial" w:cs="Arial"/>
          <w:color w:val="000000"/>
          <w:sz w:val="20"/>
          <w:szCs w:val="20"/>
          <w:lang w:val="en"/>
        </w:rPr>
      </w:pPr>
      <w:r w:rsidRPr="00F211E9">
        <w:rPr>
          <w:rFonts w:ascii="Arial" w:eastAsia="Times New Roman" w:hAnsi="Arial" w:cs="Arial"/>
          <w:color w:val="000000"/>
          <w:sz w:val="20"/>
          <w:szCs w:val="20"/>
          <w:lang w:val="en"/>
        </w:rPr>
        <w:t>The 2-percentage-point reduction in the Social Security tax paid by workers, including self-employed individuals, has been allowed to expire. For 2013, a worker earning $50,000 will pay an additional</w:t>
      </w:r>
      <w:r w:rsidR="002859CE">
        <w:rPr>
          <w:rFonts w:ascii="Arial" w:eastAsia="Times New Roman" w:hAnsi="Arial" w:cs="Arial"/>
          <w:color w:val="000000"/>
          <w:sz w:val="20"/>
          <w:szCs w:val="20"/>
          <w:lang w:val="en"/>
        </w:rPr>
        <w:t xml:space="preserve"> </w:t>
      </w:r>
      <w:r w:rsidRPr="00F211E9">
        <w:rPr>
          <w:rFonts w:ascii="Arial" w:eastAsia="Times New Roman" w:hAnsi="Arial" w:cs="Arial"/>
          <w:color w:val="000000"/>
          <w:sz w:val="20"/>
          <w:szCs w:val="20"/>
          <w:lang w:val="en"/>
        </w:rPr>
        <w:t>$1,000.</w:t>
      </w:r>
    </w:p>
    <w:p w:rsidR="008F1A05" w:rsidRPr="00F211E9" w:rsidRDefault="008F1A05" w:rsidP="002859CE">
      <w:pPr>
        <w:ind w:left="-360" w:right="117"/>
        <w:rPr>
          <w:rFonts w:ascii="Arial" w:eastAsia="Times New Roman" w:hAnsi="Arial" w:cs="Arial"/>
          <w:color w:val="000000"/>
          <w:sz w:val="20"/>
          <w:szCs w:val="20"/>
          <w:lang w:val="en"/>
        </w:rPr>
      </w:pPr>
      <w:r w:rsidRPr="00F211E9">
        <w:rPr>
          <w:rFonts w:ascii="Arial" w:eastAsia="Times New Roman" w:hAnsi="Arial" w:cs="Arial"/>
          <w:color w:val="000000"/>
          <w:sz w:val="20"/>
          <w:szCs w:val="20"/>
          <w:lang w:val="en"/>
        </w:rPr>
        <w:t>Those with earnings above the $113,700 Social Security wage base will pay an additional $2,274.</w:t>
      </w:r>
    </w:p>
    <w:p w:rsidR="008F1A05" w:rsidRPr="001F034D" w:rsidRDefault="008F1A05" w:rsidP="009E4D5A">
      <w:pPr>
        <w:ind w:left="-360" w:right="117"/>
        <w:jc w:val="left"/>
        <w:rPr>
          <w:rFonts w:ascii="Arial" w:hAnsi="Arial" w:cs="Arial"/>
          <w:b/>
          <w:sz w:val="24"/>
          <w:szCs w:val="24"/>
        </w:rPr>
      </w:pPr>
      <w:r w:rsidRPr="001F034D">
        <w:rPr>
          <w:rFonts w:ascii="Arial" w:hAnsi="Arial" w:cs="Arial"/>
          <w:b/>
          <w:sz w:val="24"/>
          <w:szCs w:val="24"/>
        </w:rPr>
        <w:t>Provisions Primarily Affecting Businesses</w:t>
      </w:r>
    </w:p>
    <w:p w:rsidR="008F1A05" w:rsidRPr="00F211E9" w:rsidRDefault="008F1A05" w:rsidP="009E4D5A">
      <w:pPr>
        <w:autoSpaceDE w:val="0"/>
        <w:autoSpaceDN w:val="0"/>
        <w:adjustRightInd w:val="0"/>
        <w:spacing w:after="0" w:line="240" w:lineRule="auto"/>
        <w:ind w:left="-360" w:right="117"/>
        <w:rPr>
          <w:rFonts w:ascii="Arial" w:hAnsi="Arial" w:cs="Arial"/>
          <w:b/>
          <w:bCs/>
          <w:sz w:val="20"/>
          <w:szCs w:val="20"/>
        </w:rPr>
      </w:pPr>
      <w:r w:rsidRPr="00F211E9">
        <w:rPr>
          <w:rFonts w:ascii="Arial" w:hAnsi="Arial" w:cs="Arial"/>
          <w:b/>
          <w:bCs/>
          <w:sz w:val="20"/>
          <w:szCs w:val="20"/>
        </w:rPr>
        <w:t>Expired business provisions extended</w:t>
      </w:r>
    </w:p>
    <w:p w:rsidR="008F1A05" w:rsidRPr="00F211E9" w:rsidRDefault="008F1A05" w:rsidP="009E4D5A">
      <w:pPr>
        <w:autoSpaceDE w:val="0"/>
        <w:autoSpaceDN w:val="0"/>
        <w:adjustRightInd w:val="0"/>
        <w:spacing w:after="0" w:line="240" w:lineRule="auto"/>
        <w:ind w:left="-360" w:right="117"/>
        <w:rPr>
          <w:rFonts w:ascii="Arial" w:hAnsi="Arial" w:cs="Arial"/>
          <w:b/>
          <w:bCs/>
          <w:sz w:val="20"/>
          <w:szCs w:val="20"/>
        </w:rPr>
      </w:pPr>
    </w:p>
    <w:p w:rsidR="008F1A05" w:rsidRPr="00F211E9" w:rsidRDefault="008F1A05" w:rsidP="009E4D5A">
      <w:pPr>
        <w:autoSpaceDE w:val="0"/>
        <w:autoSpaceDN w:val="0"/>
        <w:adjustRightInd w:val="0"/>
        <w:spacing w:after="0" w:line="240" w:lineRule="auto"/>
        <w:ind w:left="-360" w:right="117"/>
        <w:rPr>
          <w:rFonts w:ascii="Arial" w:hAnsi="Arial" w:cs="Arial"/>
          <w:bCs/>
          <w:sz w:val="20"/>
          <w:szCs w:val="20"/>
        </w:rPr>
      </w:pPr>
      <w:r w:rsidRPr="00F211E9">
        <w:rPr>
          <w:rFonts w:ascii="Arial" w:hAnsi="Arial" w:cs="Arial"/>
          <w:bCs/>
          <w:sz w:val="20"/>
          <w:szCs w:val="20"/>
        </w:rPr>
        <w:t>Several popular business provisions that had already expired were reinstated retroactively and temporarily extended, including:</w:t>
      </w:r>
    </w:p>
    <w:p w:rsidR="008F1A05" w:rsidRPr="00F211E9" w:rsidRDefault="008F1A05" w:rsidP="009E4D5A">
      <w:pPr>
        <w:autoSpaceDE w:val="0"/>
        <w:autoSpaceDN w:val="0"/>
        <w:adjustRightInd w:val="0"/>
        <w:spacing w:after="0" w:line="240" w:lineRule="auto"/>
        <w:ind w:left="-360" w:right="117"/>
        <w:rPr>
          <w:rFonts w:ascii="Arial" w:hAnsi="Arial" w:cs="Arial"/>
          <w:b/>
          <w:bCs/>
          <w:sz w:val="20"/>
          <w:szCs w:val="20"/>
        </w:rPr>
      </w:pPr>
    </w:p>
    <w:p w:rsidR="008F1A05" w:rsidRPr="00F211E9" w:rsidRDefault="008F1A05" w:rsidP="009E4D5A">
      <w:pPr>
        <w:autoSpaceDE w:val="0"/>
        <w:autoSpaceDN w:val="0"/>
        <w:adjustRightInd w:val="0"/>
        <w:spacing w:after="0" w:line="240" w:lineRule="auto"/>
        <w:ind w:left="-360" w:right="117"/>
        <w:rPr>
          <w:rFonts w:ascii="Arial" w:hAnsi="Arial" w:cs="Arial"/>
          <w:bCs/>
          <w:sz w:val="20"/>
          <w:szCs w:val="20"/>
        </w:rPr>
      </w:pPr>
      <w:r w:rsidRPr="00F211E9">
        <w:rPr>
          <w:rFonts w:ascii="Arial" w:hAnsi="Arial" w:cs="Arial"/>
          <w:b/>
          <w:bCs/>
          <w:i/>
          <w:sz w:val="20"/>
          <w:szCs w:val="20"/>
        </w:rPr>
        <w:t>R&amp;D tax credi</w:t>
      </w:r>
      <w:r w:rsidR="00AA5B8B">
        <w:rPr>
          <w:rFonts w:ascii="Arial" w:hAnsi="Arial" w:cs="Arial"/>
          <w:b/>
          <w:bCs/>
          <w:i/>
          <w:sz w:val="20"/>
          <w:szCs w:val="20"/>
        </w:rPr>
        <w:t xml:space="preserve">t </w:t>
      </w:r>
      <w:r w:rsidRPr="00F211E9">
        <w:rPr>
          <w:rFonts w:ascii="Arial" w:hAnsi="Arial" w:cs="Arial"/>
          <w:bCs/>
          <w:i/>
          <w:sz w:val="20"/>
          <w:szCs w:val="20"/>
        </w:rPr>
        <w:t>–</w:t>
      </w:r>
      <w:r w:rsidR="00AA5B8B">
        <w:rPr>
          <w:rFonts w:ascii="Arial" w:hAnsi="Arial" w:cs="Arial"/>
          <w:bCs/>
          <w:i/>
          <w:sz w:val="20"/>
          <w:szCs w:val="20"/>
        </w:rPr>
        <w:t xml:space="preserve"> </w:t>
      </w:r>
      <w:r w:rsidRPr="00F211E9">
        <w:rPr>
          <w:rFonts w:ascii="Arial" w:hAnsi="Arial" w:cs="Arial"/>
          <w:bCs/>
          <w:sz w:val="20"/>
          <w:szCs w:val="20"/>
        </w:rPr>
        <w:t>The credit for increasing research and development activities, which expired at the end of 2011, is extended through 2013. A modification allows for partial inclusion of research expenses and gross receipts of an acquired business.</w:t>
      </w:r>
    </w:p>
    <w:p w:rsidR="008F1A05" w:rsidRPr="00F211E9" w:rsidRDefault="008F1A05" w:rsidP="009E4D5A">
      <w:pPr>
        <w:autoSpaceDE w:val="0"/>
        <w:autoSpaceDN w:val="0"/>
        <w:adjustRightInd w:val="0"/>
        <w:spacing w:after="0" w:line="240" w:lineRule="auto"/>
        <w:ind w:left="-360" w:right="117"/>
        <w:rPr>
          <w:rFonts w:ascii="Arial" w:hAnsi="Arial" w:cs="Arial"/>
          <w:bCs/>
          <w:sz w:val="20"/>
          <w:szCs w:val="20"/>
        </w:rPr>
      </w:pPr>
    </w:p>
    <w:p w:rsidR="008F1A05" w:rsidRPr="00F211E9" w:rsidRDefault="008F1A05" w:rsidP="009E4D5A">
      <w:pPr>
        <w:autoSpaceDE w:val="0"/>
        <w:autoSpaceDN w:val="0"/>
        <w:adjustRightInd w:val="0"/>
        <w:spacing w:after="0" w:line="240" w:lineRule="auto"/>
        <w:ind w:left="-360" w:right="117"/>
        <w:rPr>
          <w:rFonts w:ascii="Arial" w:hAnsi="Arial" w:cs="Arial"/>
          <w:bCs/>
          <w:sz w:val="20"/>
          <w:szCs w:val="20"/>
        </w:rPr>
      </w:pPr>
      <w:r w:rsidRPr="00F211E9">
        <w:rPr>
          <w:rFonts w:ascii="Arial" w:hAnsi="Arial" w:cs="Arial"/>
          <w:b/>
          <w:bCs/>
          <w:i/>
          <w:sz w:val="20"/>
          <w:szCs w:val="20"/>
        </w:rPr>
        <w:t>Higher expensing limi</w:t>
      </w:r>
      <w:r w:rsidR="00AA5B8B">
        <w:rPr>
          <w:rFonts w:ascii="Arial" w:hAnsi="Arial" w:cs="Arial"/>
          <w:b/>
          <w:bCs/>
          <w:i/>
          <w:sz w:val="20"/>
          <w:szCs w:val="20"/>
        </w:rPr>
        <w:t xml:space="preserve">t </w:t>
      </w:r>
      <w:r w:rsidRPr="00F211E9">
        <w:rPr>
          <w:rFonts w:ascii="Arial" w:hAnsi="Arial" w:cs="Arial"/>
          <w:bCs/>
          <w:sz w:val="20"/>
          <w:szCs w:val="20"/>
        </w:rPr>
        <w:t>–</w:t>
      </w:r>
      <w:r w:rsidR="00AA5B8B">
        <w:rPr>
          <w:rFonts w:ascii="Arial" w:hAnsi="Arial" w:cs="Arial"/>
          <w:bCs/>
          <w:sz w:val="20"/>
          <w:szCs w:val="20"/>
        </w:rPr>
        <w:t xml:space="preserve"> </w:t>
      </w:r>
      <w:r w:rsidRPr="00F211E9">
        <w:rPr>
          <w:rFonts w:ascii="Arial" w:hAnsi="Arial" w:cs="Arial"/>
          <w:bCs/>
          <w:sz w:val="20"/>
          <w:szCs w:val="20"/>
        </w:rPr>
        <w:t>The enhanced Section 179 small business expensing election is extended through 2013. The dollar limit for 2012 and 2013 is $500,000, with a $2 million investment limitation. The rule allowing off-the-shelf computer software is also extended.</w:t>
      </w:r>
    </w:p>
    <w:p w:rsidR="008F1A05" w:rsidRPr="00F211E9" w:rsidRDefault="008F1A05" w:rsidP="009E4D5A">
      <w:pPr>
        <w:autoSpaceDE w:val="0"/>
        <w:autoSpaceDN w:val="0"/>
        <w:adjustRightInd w:val="0"/>
        <w:spacing w:after="0" w:line="240" w:lineRule="auto"/>
        <w:ind w:left="-360" w:right="117"/>
        <w:rPr>
          <w:rFonts w:ascii="Arial" w:hAnsi="Arial" w:cs="Arial"/>
          <w:bCs/>
          <w:sz w:val="20"/>
          <w:szCs w:val="20"/>
        </w:rPr>
      </w:pPr>
    </w:p>
    <w:p w:rsidR="009E4D5A" w:rsidRDefault="008F1A05" w:rsidP="009E4D5A">
      <w:pPr>
        <w:autoSpaceDE w:val="0"/>
        <w:autoSpaceDN w:val="0"/>
        <w:adjustRightInd w:val="0"/>
        <w:spacing w:after="0" w:line="240" w:lineRule="auto"/>
        <w:ind w:left="-360" w:right="117"/>
        <w:rPr>
          <w:rFonts w:ascii="Arial" w:hAnsi="Arial" w:cs="Arial"/>
          <w:bCs/>
          <w:sz w:val="20"/>
          <w:szCs w:val="20"/>
        </w:rPr>
      </w:pPr>
      <w:r w:rsidRPr="00F211E9">
        <w:rPr>
          <w:rFonts w:ascii="Arial" w:hAnsi="Arial" w:cs="Arial"/>
          <w:b/>
          <w:bCs/>
          <w:i/>
          <w:sz w:val="20"/>
          <w:szCs w:val="20"/>
        </w:rPr>
        <w:t>Bonus depreciation</w:t>
      </w:r>
      <w:r w:rsidR="00AA5B8B">
        <w:rPr>
          <w:rFonts w:ascii="Arial" w:hAnsi="Arial" w:cs="Arial"/>
          <w:bCs/>
          <w:sz w:val="20"/>
          <w:szCs w:val="20"/>
        </w:rPr>
        <w:t xml:space="preserve"> – </w:t>
      </w:r>
      <w:r w:rsidRPr="00F211E9">
        <w:rPr>
          <w:rFonts w:ascii="Arial" w:hAnsi="Arial" w:cs="Arial"/>
          <w:bCs/>
          <w:sz w:val="20"/>
          <w:szCs w:val="20"/>
        </w:rPr>
        <w:t>50 percent bonus depreciation is extended through 2013. This extension allows for an increase of the first-year limit for luxury autos to $8,000 (not yet adjusted for inflation). In addition, the act extends the ability for taxpayers to forgo bonus depreciation in</w:t>
      </w:r>
      <w:r w:rsidR="009E4D5A">
        <w:rPr>
          <w:rFonts w:ascii="Arial" w:hAnsi="Arial" w:cs="Arial"/>
          <w:bCs/>
          <w:sz w:val="20"/>
          <w:szCs w:val="20"/>
        </w:rPr>
        <w:t xml:space="preserve"> </w:t>
      </w:r>
      <w:r w:rsidRPr="00F211E9">
        <w:rPr>
          <w:rFonts w:ascii="Arial" w:hAnsi="Arial" w:cs="Arial"/>
          <w:bCs/>
          <w:sz w:val="20"/>
          <w:szCs w:val="20"/>
        </w:rPr>
        <w:t>order to increase AMT credit limitations.</w:t>
      </w:r>
    </w:p>
    <w:p w:rsidR="008F1A05" w:rsidRPr="00F211E9" w:rsidRDefault="008F1A05" w:rsidP="009E4D5A">
      <w:pPr>
        <w:autoSpaceDE w:val="0"/>
        <w:autoSpaceDN w:val="0"/>
        <w:adjustRightInd w:val="0"/>
        <w:spacing w:after="0" w:line="240" w:lineRule="auto"/>
        <w:ind w:left="-270" w:right="297"/>
        <w:rPr>
          <w:rFonts w:ascii="Arial" w:hAnsi="Arial" w:cs="Arial"/>
          <w:bCs/>
          <w:sz w:val="20"/>
          <w:szCs w:val="20"/>
        </w:rPr>
      </w:pPr>
      <w:r w:rsidRPr="00F211E9">
        <w:rPr>
          <w:rFonts w:ascii="Arial" w:hAnsi="Arial" w:cs="Arial"/>
          <w:bCs/>
          <w:sz w:val="20"/>
          <w:szCs w:val="20"/>
        </w:rPr>
        <w:lastRenderedPageBreak/>
        <w:t>Some transportation and longer production period property is eligible through 2014.</w:t>
      </w:r>
    </w:p>
    <w:p w:rsidR="008F1A05" w:rsidRPr="00F211E9" w:rsidRDefault="008F1A05" w:rsidP="00282221">
      <w:pPr>
        <w:autoSpaceDE w:val="0"/>
        <w:autoSpaceDN w:val="0"/>
        <w:adjustRightInd w:val="0"/>
        <w:spacing w:after="0" w:line="240" w:lineRule="auto"/>
        <w:ind w:left="-270" w:right="297"/>
        <w:rPr>
          <w:rFonts w:ascii="Arial" w:hAnsi="Arial" w:cs="Arial"/>
          <w:bCs/>
          <w:sz w:val="20"/>
          <w:szCs w:val="20"/>
        </w:rPr>
      </w:pPr>
    </w:p>
    <w:p w:rsidR="008F1A05" w:rsidRPr="00F211E9" w:rsidRDefault="008F1A05" w:rsidP="00282221">
      <w:pPr>
        <w:autoSpaceDE w:val="0"/>
        <w:autoSpaceDN w:val="0"/>
        <w:adjustRightInd w:val="0"/>
        <w:spacing w:after="0" w:line="240" w:lineRule="auto"/>
        <w:ind w:left="-270" w:right="297"/>
        <w:rPr>
          <w:rFonts w:ascii="Arial" w:hAnsi="Arial" w:cs="Arial"/>
          <w:bCs/>
          <w:sz w:val="20"/>
          <w:szCs w:val="20"/>
        </w:rPr>
      </w:pPr>
      <w:r w:rsidRPr="00F211E9">
        <w:rPr>
          <w:rFonts w:ascii="Arial" w:hAnsi="Arial" w:cs="Arial"/>
          <w:b/>
          <w:bCs/>
          <w:i/>
          <w:sz w:val="20"/>
          <w:szCs w:val="20"/>
        </w:rPr>
        <w:t>Work Opportunities Tax Credit</w:t>
      </w:r>
      <w:r w:rsidR="00AA5B8B">
        <w:rPr>
          <w:rFonts w:ascii="Arial" w:hAnsi="Arial" w:cs="Arial"/>
          <w:b/>
          <w:bCs/>
          <w:i/>
          <w:sz w:val="20"/>
          <w:szCs w:val="20"/>
        </w:rPr>
        <w:t xml:space="preserve"> </w:t>
      </w:r>
      <w:r w:rsidRPr="00F211E9">
        <w:rPr>
          <w:rFonts w:ascii="Arial" w:hAnsi="Arial" w:cs="Arial"/>
          <w:bCs/>
          <w:sz w:val="20"/>
          <w:szCs w:val="20"/>
        </w:rPr>
        <w:t>–</w:t>
      </w:r>
      <w:r w:rsidR="00AA5B8B">
        <w:rPr>
          <w:rFonts w:ascii="Arial" w:hAnsi="Arial" w:cs="Arial"/>
          <w:bCs/>
          <w:sz w:val="20"/>
          <w:szCs w:val="20"/>
        </w:rPr>
        <w:t xml:space="preserve"> </w:t>
      </w:r>
      <w:r w:rsidRPr="00F211E9">
        <w:rPr>
          <w:rFonts w:ascii="Arial" w:hAnsi="Arial" w:cs="Arial"/>
          <w:bCs/>
          <w:sz w:val="20"/>
          <w:szCs w:val="20"/>
        </w:rPr>
        <w:t>This provision provides a credit of up to $2,400 (up to $9,600 for qualified veterans) to employers hiring workers from a variety of difficult-to-employ groups. The credit is extended for workers hired through 2013.</w:t>
      </w:r>
    </w:p>
    <w:p w:rsidR="008F1A05" w:rsidRPr="00F211E9" w:rsidRDefault="008F1A05" w:rsidP="00282221">
      <w:pPr>
        <w:autoSpaceDE w:val="0"/>
        <w:autoSpaceDN w:val="0"/>
        <w:adjustRightInd w:val="0"/>
        <w:spacing w:after="0" w:line="240" w:lineRule="auto"/>
        <w:ind w:left="-270" w:right="297"/>
        <w:rPr>
          <w:rFonts w:ascii="Arial" w:hAnsi="Arial" w:cs="Arial"/>
          <w:bCs/>
          <w:sz w:val="20"/>
          <w:szCs w:val="20"/>
        </w:rPr>
      </w:pPr>
    </w:p>
    <w:p w:rsidR="008F1A05" w:rsidRPr="00F211E9" w:rsidRDefault="008F1A05" w:rsidP="00282221">
      <w:pPr>
        <w:autoSpaceDE w:val="0"/>
        <w:autoSpaceDN w:val="0"/>
        <w:adjustRightInd w:val="0"/>
        <w:spacing w:after="0" w:line="240" w:lineRule="auto"/>
        <w:ind w:left="-270" w:right="297"/>
        <w:rPr>
          <w:rFonts w:ascii="Arial" w:hAnsi="Arial" w:cs="Arial"/>
          <w:bCs/>
          <w:sz w:val="20"/>
          <w:szCs w:val="20"/>
        </w:rPr>
      </w:pPr>
      <w:r w:rsidRPr="00F211E9">
        <w:rPr>
          <w:rFonts w:ascii="Arial" w:hAnsi="Arial" w:cs="Arial"/>
          <w:b/>
          <w:bCs/>
          <w:i/>
          <w:sz w:val="20"/>
          <w:szCs w:val="20"/>
        </w:rPr>
        <w:t>Qualified leasehold improvements</w:t>
      </w:r>
      <w:r w:rsidR="00AA5B8B">
        <w:rPr>
          <w:rFonts w:ascii="Arial" w:hAnsi="Arial" w:cs="Arial"/>
          <w:bCs/>
          <w:i/>
          <w:sz w:val="20"/>
          <w:szCs w:val="20"/>
        </w:rPr>
        <w:t xml:space="preserve"> </w:t>
      </w:r>
      <w:r w:rsidRPr="00F211E9">
        <w:rPr>
          <w:rFonts w:ascii="Arial" w:hAnsi="Arial" w:cs="Arial"/>
          <w:bCs/>
          <w:sz w:val="20"/>
          <w:szCs w:val="20"/>
        </w:rPr>
        <w:t>–</w:t>
      </w:r>
      <w:r w:rsidR="00AA5B8B">
        <w:rPr>
          <w:rFonts w:ascii="Arial" w:hAnsi="Arial" w:cs="Arial"/>
          <w:bCs/>
          <w:sz w:val="20"/>
          <w:szCs w:val="20"/>
        </w:rPr>
        <w:t xml:space="preserve"> </w:t>
      </w:r>
      <w:r w:rsidRPr="00F211E9">
        <w:rPr>
          <w:rFonts w:ascii="Arial" w:hAnsi="Arial" w:cs="Arial"/>
          <w:bCs/>
          <w:sz w:val="20"/>
          <w:szCs w:val="20"/>
        </w:rPr>
        <w:t>The 15-year recovery period for qualified leasehold improvements, qualified retail improvements and qualified restaurant property is extended through 2013.</w:t>
      </w:r>
    </w:p>
    <w:p w:rsidR="008F1A05" w:rsidRPr="00F211E9" w:rsidRDefault="008F1A05" w:rsidP="00282221">
      <w:pPr>
        <w:autoSpaceDE w:val="0"/>
        <w:autoSpaceDN w:val="0"/>
        <w:adjustRightInd w:val="0"/>
        <w:spacing w:after="0" w:line="240" w:lineRule="auto"/>
        <w:ind w:left="-270" w:right="297"/>
        <w:rPr>
          <w:rFonts w:ascii="Arial" w:hAnsi="Arial" w:cs="Arial"/>
          <w:bCs/>
          <w:sz w:val="20"/>
          <w:szCs w:val="20"/>
        </w:rPr>
      </w:pPr>
    </w:p>
    <w:p w:rsidR="008F1A05" w:rsidRDefault="008F1A05" w:rsidP="00282221">
      <w:pPr>
        <w:autoSpaceDE w:val="0"/>
        <w:autoSpaceDN w:val="0"/>
        <w:adjustRightInd w:val="0"/>
        <w:spacing w:after="0" w:line="240" w:lineRule="auto"/>
        <w:ind w:left="-270" w:right="297"/>
        <w:rPr>
          <w:rFonts w:ascii="Arial" w:hAnsi="Arial" w:cs="Arial"/>
          <w:bCs/>
          <w:sz w:val="20"/>
          <w:szCs w:val="20"/>
        </w:rPr>
      </w:pPr>
      <w:r w:rsidRPr="00F211E9">
        <w:rPr>
          <w:rFonts w:ascii="Arial" w:hAnsi="Arial" w:cs="Arial"/>
          <w:b/>
          <w:bCs/>
          <w:i/>
          <w:sz w:val="20"/>
          <w:szCs w:val="20"/>
        </w:rPr>
        <w:t>Other business extenders</w:t>
      </w:r>
      <w:r w:rsidR="00AA5B8B">
        <w:rPr>
          <w:rFonts w:ascii="Arial" w:hAnsi="Arial" w:cs="Arial"/>
          <w:b/>
          <w:bCs/>
          <w:i/>
          <w:sz w:val="20"/>
          <w:szCs w:val="20"/>
        </w:rPr>
        <w:t xml:space="preserve"> </w:t>
      </w:r>
      <w:r w:rsidRPr="00F211E9">
        <w:rPr>
          <w:rFonts w:ascii="Arial" w:hAnsi="Arial" w:cs="Arial"/>
          <w:bCs/>
          <w:sz w:val="20"/>
          <w:szCs w:val="20"/>
        </w:rPr>
        <w:t>–</w:t>
      </w:r>
      <w:r w:rsidR="00AA5B8B">
        <w:rPr>
          <w:rFonts w:ascii="Arial" w:hAnsi="Arial" w:cs="Arial"/>
          <w:bCs/>
          <w:sz w:val="20"/>
          <w:szCs w:val="20"/>
        </w:rPr>
        <w:t xml:space="preserve"> </w:t>
      </w:r>
      <w:r w:rsidRPr="00F211E9">
        <w:rPr>
          <w:rFonts w:ascii="Arial" w:hAnsi="Arial" w:cs="Arial"/>
          <w:bCs/>
          <w:sz w:val="20"/>
          <w:szCs w:val="20"/>
        </w:rPr>
        <w:t>A number of other business provisions that expired at the end of 2011 have been extended through 2013, including:</w:t>
      </w:r>
    </w:p>
    <w:p w:rsidR="008F1A05" w:rsidRPr="00F211E9" w:rsidRDefault="008F1A05" w:rsidP="00282221">
      <w:pPr>
        <w:autoSpaceDE w:val="0"/>
        <w:autoSpaceDN w:val="0"/>
        <w:adjustRightInd w:val="0"/>
        <w:spacing w:after="0" w:line="240" w:lineRule="auto"/>
        <w:ind w:left="-270" w:right="297"/>
        <w:rPr>
          <w:rFonts w:ascii="Arial" w:hAnsi="Arial" w:cs="Arial"/>
          <w:bCs/>
          <w:sz w:val="20"/>
          <w:szCs w:val="20"/>
        </w:rPr>
      </w:pPr>
    </w:p>
    <w:p w:rsidR="008F1A05" w:rsidRPr="00F211E9" w:rsidRDefault="008F1A05" w:rsidP="002E6259">
      <w:pPr>
        <w:pStyle w:val="ListParagraph"/>
        <w:numPr>
          <w:ilvl w:val="0"/>
          <w:numId w:val="33"/>
        </w:numPr>
        <w:autoSpaceDE w:val="0"/>
        <w:autoSpaceDN w:val="0"/>
        <w:adjustRightInd w:val="0"/>
        <w:spacing w:after="0" w:line="240" w:lineRule="auto"/>
        <w:ind w:left="90" w:right="297"/>
        <w:rPr>
          <w:rFonts w:ascii="Arial" w:hAnsi="Arial" w:cs="Arial"/>
          <w:bCs/>
          <w:sz w:val="20"/>
          <w:szCs w:val="20"/>
        </w:rPr>
      </w:pPr>
      <w:r w:rsidRPr="00F211E9">
        <w:rPr>
          <w:rFonts w:ascii="Arial" w:hAnsi="Arial" w:cs="Arial"/>
          <w:bCs/>
          <w:sz w:val="20"/>
          <w:szCs w:val="20"/>
        </w:rPr>
        <w:t>New Markets Tax Credit</w:t>
      </w:r>
    </w:p>
    <w:p w:rsidR="008F1A05" w:rsidRPr="00F211E9" w:rsidRDefault="008F1A05" w:rsidP="002E6259">
      <w:pPr>
        <w:pStyle w:val="ListParagraph"/>
        <w:numPr>
          <w:ilvl w:val="0"/>
          <w:numId w:val="33"/>
        </w:numPr>
        <w:autoSpaceDE w:val="0"/>
        <w:autoSpaceDN w:val="0"/>
        <w:adjustRightInd w:val="0"/>
        <w:spacing w:after="0" w:line="240" w:lineRule="auto"/>
        <w:ind w:left="90" w:right="297"/>
        <w:rPr>
          <w:rFonts w:ascii="Arial" w:hAnsi="Arial" w:cs="Arial"/>
          <w:bCs/>
          <w:sz w:val="20"/>
          <w:szCs w:val="20"/>
        </w:rPr>
      </w:pPr>
      <w:r w:rsidRPr="00F211E9">
        <w:rPr>
          <w:rFonts w:ascii="Arial" w:hAnsi="Arial" w:cs="Arial"/>
          <w:bCs/>
          <w:sz w:val="20"/>
          <w:szCs w:val="20"/>
        </w:rPr>
        <w:t>100 percent exclusion for gain on the sale of small business stock</w:t>
      </w:r>
    </w:p>
    <w:p w:rsidR="008F1A05" w:rsidRPr="00F211E9" w:rsidRDefault="008F1A05" w:rsidP="002E6259">
      <w:pPr>
        <w:pStyle w:val="ListParagraph"/>
        <w:numPr>
          <w:ilvl w:val="0"/>
          <w:numId w:val="33"/>
        </w:numPr>
        <w:autoSpaceDE w:val="0"/>
        <w:autoSpaceDN w:val="0"/>
        <w:adjustRightInd w:val="0"/>
        <w:spacing w:after="0" w:line="240" w:lineRule="auto"/>
        <w:ind w:left="90" w:right="297"/>
        <w:rPr>
          <w:rFonts w:ascii="Arial" w:hAnsi="Arial" w:cs="Arial"/>
          <w:bCs/>
          <w:sz w:val="20"/>
          <w:szCs w:val="20"/>
        </w:rPr>
      </w:pPr>
      <w:r w:rsidRPr="00F211E9">
        <w:rPr>
          <w:rFonts w:ascii="Arial" w:hAnsi="Arial" w:cs="Arial"/>
          <w:bCs/>
          <w:sz w:val="20"/>
          <w:szCs w:val="20"/>
        </w:rPr>
        <w:t>Extension of reduced recognition period (five years) for S corporation built-in gains</w:t>
      </w:r>
    </w:p>
    <w:p w:rsidR="008F1A05" w:rsidRPr="00F211E9" w:rsidRDefault="008F1A05" w:rsidP="002E6259">
      <w:pPr>
        <w:pStyle w:val="ListParagraph"/>
        <w:numPr>
          <w:ilvl w:val="0"/>
          <w:numId w:val="33"/>
        </w:numPr>
        <w:autoSpaceDE w:val="0"/>
        <w:autoSpaceDN w:val="0"/>
        <w:adjustRightInd w:val="0"/>
        <w:spacing w:after="0" w:line="240" w:lineRule="auto"/>
        <w:ind w:left="90" w:right="297"/>
        <w:rPr>
          <w:rFonts w:ascii="Arial" w:hAnsi="Arial" w:cs="Arial"/>
          <w:bCs/>
          <w:sz w:val="20"/>
          <w:szCs w:val="20"/>
        </w:rPr>
      </w:pPr>
      <w:r w:rsidRPr="00F211E9">
        <w:rPr>
          <w:rFonts w:ascii="Arial" w:hAnsi="Arial" w:cs="Arial"/>
          <w:bCs/>
          <w:sz w:val="20"/>
          <w:szCs w:val="20"/>
        </w:rPr>
        <w:t>Enhanced deduction for contributions of food inventory</w:t>
      </w:r>
    </w:p>
    <w:p w:rsidR="008F1A05" w:rsidRPr="00F211E9" w:rsidRDefault="008F1A05" w:rsidP="00282221">
      <w:pPr>
        <w:autoSpaceDE w:val="0"/>
        <w:autoSpaceDN w:val="0"/>
        <w:adjustRightInd w:val="0"/>
        <w:spacing w:after="0" w:line="240" w:lineRule="auto"/>
        <w:ind w:left="-270" w:right="297"/>
        <w:rPr>
          <w:rFonts w:ascii="Arial" w:hAnsi="Arial" w:cs="Arial"/>
          <w:bCs/>
          <w:sz w:val="20"/>
          <w:szCs w:val="20"/>
        </w:rPr>
      </w:pPr>
    </w:p>
    <w:p w:rsidR="008F1A05" w:rsidRPr="00F211E9" w:rsidRDefault="008F1A05" w:rsidP="00282221">
      <w:pPr>
        <w:autoSpaceDE w:val="0"/>
        <w:autoSpaceDN w:val="0"/>
        <w:adjustRightInd w:val="0"/>
        <w:spacing w:after="0" w:line="240" w:lineRule="auto"/>
        <w:ind w:left="-270" w:right="297"/>
        <w:rPr>
          <w:rFonts w:ascii="Arial" w:hAnsi="Arial" w:cs="Arial"/>
          <w:sz w:val="20"/>
          <w:szCs w:val="20"/>
        </w:rPr>
      </w:pPr>
      <w:r w:rsidRPr="00F211E9">
        <w:rPr>
          <w:rFonts w:ascii="Arial" w:hAnsi="Arial" w:cs="Arial"/>
          <w:b/>
          <w:bCs/>
          <w:i/>
          <w:sz w:val="20"/>
          <w:szCs w:val="20"/>
        </w:rPr>
        <w:t>Energy tax extenders</w:t>
      </w:r>
      <w:r w:rsidRPr="00F211E9">
        <w:rPr>
          <w:rFonts w:ascii="Arial" w:hAnsi="Arial" w:cs="Arial"/>
          <w:bCs/>
          <w:i/>
          <w:sz w:val="20"/>
          <w:szCs w:val="20"/>
        </w:rPr>
        <w:t xml:space="preserve"> – </w:t>
      </w:r>
      <w:r w:rsidRPr="00F211E9">
        <w:rPr>
          <w:rFonts w:ascii="Arial" w:hAnsi="Arial" w:cs="Arial"/>
          <w:sz w:val="20"/>
          <w:szCs w:val="20"/>
        </w:rPr>
        <w:t>The act also extends through 2013, and in some cases modifies, a number of energy</w:t>
      </w:r>
      <w:r w:rsidR="001F034D">
        <w:rPr>
          <w:rFonts w:ascii="Arial" w:hAnsi="Arial" w:cs="Arial"/>
          <w:sz w:val="20"/>
          <w:szCs w:val="20"/>
        </w:rPr>
        <w:t xml:space="preserve"> </w:t>
      </w:r>
      <w:r w:rsidRPr="00F211E9">
        <w:rPr>
          <w:rFonts w:ascii="Arial" w:hAnsi="Arial" w:cs="Arial"/>
          <w:sz w:val="20"/>
          <w:szCs w:val="20"/>
        </w:rPr>
        <w:t>credits and provisions that expired at the end of 2011, including credits for:</w:t>
      </w:r>
    </w:p>
    <w:p w:rsidR="008F1A05" w:rsidRPr="00F211E9" w:rsidRDefault="008F1A05" w:rsidP="00282221">
      <w:pPr>
        <w:autoSpaceDE w:val="0"/>
        <w:autoSpaceDN w:val="0"/>
        <w:adjustRightInd w:val="0"/>
        <w:spacing w:after="0" w:line="240" w:lineRule="auto"/>
        <w:ind w:left="-270" w:right="297"/>
        <w:rPr>
          <w:rFonts w:ascii="Arial" w:hAnsi="Arial" w:cs="Arial"/>
          <w:sz w:val="20"/>
          <w:szCs w:val="20"/>
        </w:rPr>
      </w:pPr>
    </w:p>
    <w:p w:rsidR="008F1A05" w:rsidRPr="00F211E9" w:rsidRDefault="008F1A05" w:rsidP="002E6259">
      <w:pPr>
        <w:pStyle w:val="ListParagraph"/>
        <w:numPr>
          <w:ilvl w:val="0"/>
          <w:numId w:val="34"/>
        </w:numPr>
        <w:autoSpaceDE w:val="0"/>
        <w:autoSpaceDN w:val="0"/>
        <w:adjustRightInd w:val="0"/>
        <w:spacing w:after="0" w:line="240" w:lineRule="auto"/>
        <w:ind w:left="90" w:right="297"/>
        <w:rPr>
          <w:rFonts w:ascii="Arial" w:hAnsi="Arial" w:cs="Arial"/>
          <w:sz w:val="20"/>
          <w:szCs w:val="20"/>
        </w:rPr>
      </w:pPr>
      <w:r w:rsidRPr="00F211E9">
        <w:rPr>
          <w:rFonts w:ascii="Arial" w:hAnsi="Arial" w:cs="Arial"/>
          <w:sz w:val="20"/>
          <w:szCs w:val="20"/>
        </w:rPr>
        <w:t>Energy-efficient existing homes</w:t>
      </w:r>
    </w:p>
    <w:p w:rsidR="008F1A05" w:rsidRPr="00F211E9" w:rsidRDefault="008F1A05" w:rsidP="002E6259">
      <w:pPr>
        <w:pStyle w:val="ListParagraph"/>
        <w:numPr>
          <w:ilvl w:val="0"/>
          <w:numId w:val="34"/>
        </w:numPr>
        <w:tabs>
          <w:tab w:val="left" w:pos="360"/>
        </w:tabs>
        <w:autoSpaceDE w:val="0"/>
        <w:autoSpaceDN w:val="0"/>
        <w:adjustRightInd w:val="0"/>
        <w:spacing w:after="0" w:line="240" w:lineRule="auto"/>
        <w:ind w:left="90" w:right="297"/>
        <w:rPr>
          <w:rFonts w:ascii="Arial" w:hAnsi="Arial" w:cs="Arial"/>
          <w:sz w:val="20"/>
          <w:szCs w:val="20"/>
        </w:rPr>
      </w:pPr>
      <w:r w:rsidRPr="00F211E9">
        <w:rPr>
          <w:rFonts w:ascii="Arial" w:hAnsi="Arial" w:cs="Arial"/>
          <w:sz w:val="20"/>
          <w:szCs w:val="20"/>
        </w:rPr>
        <w:t>Alternative fuel vehicle refueling property</w:t>
      </w:r>
    </w:p>
    <w:p w:rsidR="008F1A05" w:rsidRPr="00F211E9" w:rsidRDefault="008F1A05" w:rsidP="002E6259">
      <w:pPr>
        <w:pStyle w:val="ListParagraph"/>
        <w:numPr>
          <w:ilvl w:val="0"/>
          <w:numId w:val="34"/>
        </w:numPr>
        <w:tabs>
          <w:tab w:val="left" w:pos="360"/>
        </w:tabs>
        <w:autoSpaceDE w:val="0"/>
        <w:autoSpaceDN w:val="0"/>
        <w:adjustRightInd w:val="0"/>
        <w:spacing w:after="0" w:line="240" w:lineRule="auto"/>
        <w:ind w:left="90" w:right="297"/>
        <w:rPr>
          <w:rFonts w:ascii="Arial" w:hAnsi="Arial" w:cs="Arial"/>
          <w:sz w:val="20"/>
          <w:szCs w:val="20"/>
        </w:rPr>
      </w:pPr>
      <w:r w:rsidRPr="00F211E9">
        <w:rPr>
          <w:rFonts w:ascii="Arial" w:hAnsi="Arial" w:cs="Arial"/>
          <w:sz w:val="20"/>
          <w:szCs w:val="20"/>
        </w:rPr>
        <w:t>Energy-efficient new homes</w:t>
      </w:r>
    </w:p>
    <w:p w:rsidR="008F1A05" w:rsidRPr="00F211E9" w:rsidRDefault="002859CE" w:rsidP="002E6259">
      <w:pPr>
        <w:pStyle w:val="ListParagraph"/>
        <w:numPr>
          <w:ilvl w:val="0"/>
          <w:numId w:val="34"/>
        </w:numPr>
        <w:autoSpaceDE w:val="0"/>
        <w:autoSpaceDN w:val="0"/>
        <w:adjustRightInd w:val="0"/>
        <w:spacing w:after="0" w:line="240" w:lineRule="auto"/>
        <w:ind w:left="90" w:right="297"/>
        <w:rPr>
          <w:rFonts w:ascii="Arial" w:hAnsi="Arial" w:cs="Arial"/>
          <w:sz w:val="20"/>
          <w:szCs w:val="20"/>
        </w:rPr>
      </w:pPr>
      <w:r>
        <w:rPr>
          <w:rFonts w:ascii="Arial" w:hAnsi="Arial" w:cs="Arial"/>
          <w:sz w:val="20"/>
          <w:szCs w:val="20"/>
        </w:rPr>
        <w:t>E</w:t>
      </w:r>
      <w:r w:rsidR="008F1A05" w:rsidRPr="00F211E9">
        <w:rPr>
          <w:rFonts w:ascii="Arial" w:hAnsi="Arial" w:cs="Arial"/>
          <w:sz w:val="20"/>
          <w:szCs w:val="20"/>
        </w:rPr>
        <w:t>nergy-efficient appliances</w:t>
      </w:r>
    </w:p>
    <w:p w:rsidR="008F1A05" w:rsidRPr="00F211E9" w:rsidRDefault="008F1A05" w:rsidP="00282221">
      <w:pPr>
        <w:autoSpaceDE w:val="0"/>
        <w:autoSpaceDN w:val="0"/>
        <w:adjustRightInd w:val="0"/>
        <w:spacing w:after="0" w:line="240" w:lineRule="auto"/>
        <w:ind w:left="-270" w:right="297"/>
        <w:rPr>
          <w:rFonts w:ascii="Arial" w:hAnsi="Arial" w:cs="Arial"/>
          <w:sz w:val="20"/>
          <w:szCs w:val="20"/>
        </w:rPr>
      </w:pPr>
    </w:p>
    <w:p w:rsidR="008F1A05" w:rsidRPr="00F211E9" w:rsidRDefault="008F1A05" w:rsidP="00282221">
      <w:pPr>
        <w:autoSpaceDE w:val="0"/>
        <w:autoSpaceDN w:val="0"/>
        <w:adjustRightInd w:val="0"/>
        <w:spacing w:after="0" w:line="240" w:lineRule="auto"/>
        <w:ind w:left="-270" w:right="297"/>
        <w:rPr>
          <w:rFonts w:ascii="Arial" w:hAnsi="Arial" w:cs="Arial"/>
          <w:b/>
          <w:sz w:val="20"/>
          <w:szCs w:val="20"/>
        </w:rPr>
      </w:pPr>
      <w:r w:rsidRPr="00F211E9">
        <w:rPr>
          <w:rFonts w:ascii="Arial" w:hAnsi="Arial" w:cs="Arial"/>
          <w:b/>
          <w:sz w:val="20"/>
          <w:szCs w:val="20"/>
        </w:rPr>
        <w:t>New Healthcare Taxes Taking Effect in 2013</w:t>
      </w:r>
    </w:p>
    <w:p w:rsidR="008F1A05" w:rsidRPr="00F211E9" w:rsidRDefault="008F1A05" w:rsidP="00282221">
      <w:pPr>
        <w:autoSpaceDE w:val="0"/>
        <w:autoSpaceDN w:val="0"/>
        <w:adjustRightInd w:val="0"/>
        <w:spacing w:after="0" w:line="240" w:lineRule="auto"/>
        <w:ind w:left="-270" w:right="297"/>
        <w:rPr>
          <w:rFonts w:ascii="Arial" w:hAnsi="Arial" w:cs="Arial"/>
          <w:sz w:val="20"/>
          <w:szCs w:val="20"/>
        </w:rPr>
      </w:pPr>
    </w:p>
    <w:p w:rsidR="008F1A05" w:rsidRPr="00F211E9" w:rsidRDefault="008F1A05" w:rsidP="00282221">
      <w:pPr>
        <w:autoSpaceDE w:val="0"/>
        <w:autoSpaceDN w:val="0"/>
        <w:adjustRightInd w:val="0"/>
        <w:spacing w:after="0" w:line="240" w:lineRule="auto"/>
        <w:ind w:left="-270" w:right="297"/>
        <w:rPr>
          <w:rFonts w:ascii="Arial" w:hAnsi="Arial" w:cs="Arial"/>
          <w:sz w:val="20"/>
          <w:szCs w:val="20"/>
        </w:rPr>
      </w:pPr>
      <w:r w:rsidRPr="00F211E9">
        <w:rPr>
          <w:rFonts w:ascii="Arial" w:hAnsi="Arial" w:cs="Arial"/>
          <w:sz w:val="20"/>
          <w:szCs w:val="20"/>
        </w:rPr>
        <w:t>In addition to the various provisions contained in the new act, a number of new tax laws took effect Jan. 1, 2013, as a result of 2010’s healthcare reform legislation.</w:t>
      </w:r>
    </w:p>
    <w:p w:rsidR="008F1A05" w:rsidRPr="00F211E9" w:rsidRDefault="008F1A05" w:rsidP="00282221">
      <w:pPr>
        <w:autoSpaceDE w:val="0"/>
        <w:autoSpaceDN w:val="0"/>
        <w:adjustRightInd w:val="0"/>
        <w:spacing w:after="0" w:line="240" w:lineRule="auto"/>
        <w:ind w:left="-270" w:right="297"/>
        <w:rPr>
          <w:rFonts w:ascii="Arial" w:hAnsi="Arial" w:cs="Arial"/>
          <w:sz w:val="20"/>
          <w:szCs w:val="20"/>
        </w:rPr>
      </w:pPr>
    </w:p>
    <w:p w:rsidR="008F1A05" w:rsidRPr="00F211E9" w:rsidRDefault="008F1A05" w:rsidP="00282221">
      <w:pPr>
        <w:autoSpaceDE w:val="0"/>
        <w:autoSpaceDN w:val="0"/>
        <w:adjustRightInd w:val="0"/>
        <w:spacing w:after="0" w:line="240" w:lineRule="auto"/>
        <w:ind w:left="-270" w:right="297"/>
        <w:rPr>
          <w:rFonts w:ascii="Arial" w:hAnsi="Arial" w:cs="Arial"/>
          <w:b/>
          <w:sz w:val="20"/>
          <w:szCs w:val="20"/>
        </w:rPr>
      </w:pPr>
      <w:r w:rsidRPr="00F211E9">
        <w:rPr>
          <w:rFonts w:ascii="Arial" w:hAnsi="Arial" w:cs="Arial"/>
          <w:b/>
          <w:sz w:val="20"/>
          <w:szCs w:val="20"/>
        </w:rPr>
        <w:t>Hospital insurance tax on high-income individuals</w:t>
      </w:r>
    </w:p>
    <w:p w:rsidR="008F1A05" w:rsidRPr="00F211E9" w:rsidRDefault="008F1A05" w:rsidP="00282221">
      <w:pPr>
        <w:autoSpaceDE w:val="0"/>
        <w:autoSpaceDN w:val="0"/>
        <w:adjustRightInd w:val="0"/>
        <w:spacing w:after="0" w:line="240" w:lineRule="auto"/>
        <w:ind w:left="-270" w:right="297"/>
        <w:rPr>
          <w:rFonts w:ascii="Arial" w:hAnsi="Arial" w:cs="Arial"/>
          <w:sz w:val="20"/>
          <w:szCs w:val="20"/>
        </w:rPr>
      </w:pPr>
    </w:p>
    <w:p w:rsidR="008F1A05" w:rsidRPr="00F211E9" w:rsidRDefault="008F1A05" w:rsidP="00282221">
      <w:pPr>
        <w:autoSpaceDE w:val="0"/>
        <w:autoSpaceDN w:val="0"/>
        <w:adjustRightInd w:val="0"/>
        <w:spacing w:after="0" w:line="240" w:lineRule="auto"/>
        <w:ind w:left="-270" w:right="297"/>
        <w:rPr>
          <w:rFonts w:ascii="Arial" w:hAnsi="Arial" w:cs="Arial"/>
          <w:sz w:val="20"/>
          <w:szCs w:val="20"/>
        </w:rPr>
      </w:pPr>
      <w:r w:rsidRPr="00F211E9">
        <w:rPr>
          <w:rFonts w:ascii="Arial" w:hAnsi="Arial" w:cs="Arial"/>
          <w:sz w:val="20"/>
          <w:szCs w:val="20"/>
        </w:rPr>
        <w:t>The employee portion of the hospital insurance tax portion of FICA (which funds Social Security), normally 1.45 percent of covered wages, is increased by 0.9 percent on wages that exceed a threshold amount. The additional tax is imposed on the combined wages of both spouses filing a joint return.</w:t>
      </w:r>
    </w:p>
    <w:p w:rsidR="008F1A05" w:rsidRPr="00F211E9" w:rsidRDefault="008F1A05" w:rsidP="00282221">
      <w:pPr>
        <w:autoSpaceDE w:val="0"/>
        <w:autoSpaceDN w:val="0"/>
        <w:adjustRightInd w:val="0"/>
        <w:spacing w:after="0" w:line="240" w:lineRule="auto"/>
        <w:ind w:left="-270" w:right="297"/>
        <w:rPr>
          <w:rFonts w:ascii="Arial" w:hAnsi="Arial" w:cs="Arial"/>
          <w:sz w:val="20"/>
          <w:szCs w:val="20"/>
        </w:rPr>
      </w:pPr>
    </w:p>
    <w:p w:rsidR="008F1A05" w:rsidRPr="00F211E9" w:rsidRDefault="008F1A05" w:rsidP="009E4D5A">
      <w:pPr>
        <w:autoSpaceDE w:val="0"/>
        <w:autoSpaceDN w:val="0"/>
        <w:adjustRightInd w:val="0"/>
        <w:spacing w:after="0" w:line="240" w:lineRule="auto"/>
        <w:ind w:left="-270" w:right="297"/>
        <w:rPr>
          <w:rFonts w:ascii="Arial" w:hAnsi="Arial" w:cs="Arial"/>
          <w:sz w:val="20"/>
          <w:szCs w:val="20"/>
        </w:rPr>
      </w:pPr>
      <w:r w:rsidRPr="00F211E9">
        <w:rPr>
          <w:rFonts w:ascii="Arial" w:hAnsi="Arial" w:cs="Arial"/>
          <w:sz w:val="20"/>
          <w:szCs w:val="20"/>
        </w:rPr>
        <w:t>The threshold amount is $250,000 in the case of a joint return or surviving spouse and $200,000 for an unmarried individual. Any portion of the tax not collected through payroll withholding will be paid with the annual income tax return.</w:t>
      </w:r>
      <w:r w:rsidR="009E4D5A">
        <w:rPr>
          <w:rFonts w:ascii="Arial" w:hAnsi="Arial" w:cs="Arial"/>
          <w:sz w:val="20"/>
          <w:szCs w:val="20"/>
        </w:rPr>
        <w:t xml:space="preserve"> </w:t>
      </w:r>
      <w:r w:rsidRPr="00F211E9">
        <w:rPr>
          <w:rFonts w:ascii="Arial" w:hAnsi="Arial" w:cs="Arial"/>
          <w:sz w:val="20"/>
          <w:szCs w:val="20"/>
        </w:rPr>
        <w:t>Self-employed individuals are also subject to the additional tax if the combination of their net earnings from self-</w:t>
      </w:r>
      <w:r w:rsidRPr="00F211E9">
        <w:rPr>
          <w:rFonts w:ascii="Arial" w:hAnsi="Arial" w:cs="Arial"/>
          <w:sz w:val="20"/>
          <w:szCs w:val="20"/>
        </w:rPr>
        <w:lastRenderedPageBreak/>
        <w:t>employment and any wages exceeds the threshold amount.</w:t>
      </w:r>
    </w:p>
    <w:p w:rsidR="008F1A05" w:rsidRPr="00F211E9" w:rsidRDefault="008F1A05" w:rsidP="00282221">
      <w:pPr>
        <w:autoSpaceDE w:val="0"/>
        <w:autoSpaceDN w:val="0"/>
        <w:adjustRightInd w:val="0"/>
        <w:spacing w:after="0" w:line="240" w:lineRule="auto"/>
        <w:ind w:left="-360" w:right="-63"/>
        <w:rPr>
          <w:rFonts w:ascii="Arial" w:hAnsi="Arial" w:cs="Arial"/>
          <w:sz w:val="20"/>
          <w:szCs w:val="20"/>
        </w:rPr>
      </w:pPr>
    </w:p>
    <w:p w:rsidR="008F1A05" w:rsidRPr="00F211E9" w:rsidRDefault="008F1A05" w:rsidP="00282221">
      <w:pPr>
        <w:autoSpaceDE w:val="0"/>
        <w:autoSpaceDN w:val="0"/>
        <w:adjustRightInd w:val="0"/>
        <w:spacing w:after="0" w:line="240" w:lineRule="auto"/>
        <w:ind w:left="-360" w:right="-63"/>
        <w:rPr>
          <w:rFonts w:ascii="Arial" w:hAnsi="Arial" w:cs="Arial"/>
          <w:b/>
          <w:sz w:val="20"/>
          <w:szCs w:val="20"/>
        </w:rPr>
      </w:pPr>
      <w:r w:rsidRPr="00F211E9">
        <w:rPr>
          <w:rFonts w:ascii="Arial" w:hAnsi="Arial" w:cs="Arial"/>
          <w:b/>
          <w:sz w:val="20"/>
          <w:szCs w:val="20"/>
        </w:rPr>
        <w:t>Medicare tax on investment income</w:t>
      </w:r>
    </w:p>
    <w:p w:rsidR="008F1A05" w:rsidRPr="00F211E9" w:rsidRDefault="008F1A05" w:rsidP="00282221">
      <w:pPr>
        <w:autoSpaceDE w:val="0"/>
        <w:autoSpaceDN w:val="0"/>
        <w:adjustRightInd w:val="0"/>
        <w:spacing w:after="0" w:line="240" w:lineRule="auto"/>
        <w:ind w:left="-360" w:right="-63"/>
        <w:rPr>
          <w:rFonts w:ascii="Arial" w:hAnsi="Arial" w:cs="Arial"/>
          <w:sz w:val="20"/>
          <w:szCs w:val="20"/>
        </w:rPr>
      </w:pPr>
    </w:p>
    <w:p w:rsidR="008F1A05" w:rsidRPr="00F211E9" w:rsidRDefault="008F1A05" w:rsidP="00282221">
      <w:pPr>
        <w:autoSpaceDE w:val="0"/>
        <w:autoSpaceDN w:val="0"/>
        <w:adjustRightInd w:val="0"/>
        <w:spacing w:after="0" w:line="240" w:lineRule="auto"/>
        <w:ind w:left="-360" w:right="-63"/>
        <w:rPr>
          <w:rFonts w:ascii="Arial" w:hAnsi="Arial" w:cs="Arial"/>
          <w:sz w:val="20"/>
          <w:szCs w:val="20"/>
        </w:rPr>
      </w:pPr>
      <w:r w:rsidRPr="00F211E9">
        <w:rPr>
          <w:rFonts w:ascii="Arial" w:hAnsi="Arial" w:cs="Arial"/>
          <w:sz w:val="20"/>
          <w:szCs w:val="20"/>
        </w:rPr>
        <w:t>An additional tax at the rate of 3.8 percent applies to the lesser of:</w:t>
      </w:r>
    </w:p>
    <w:p w:rsidR="008F1A05" w:rsidRPr="00F211E9" w:rsidRDefault="008F1A05" w:rsidP="00282221">
      <w:pPr>
        <w:autoSpaceDE w:val="0"/>
        <w:autoSpaceDN w:val="0"/>
        <w:adjustRightInd w:val="0"/>
        <w:spacing w:after="0" w:line="240" w:lineRule="auto"/>
        <w:ind w:left="-360" w:right="-63"/>
        <w:rPr>
          <w:rFonts w:ascii="Arial" w:hAnsi="Arial" w:cs="Arial"/>
          <w:sz w:val="20"/>
          <w:szCs w:val="20"/>
        </w:rPr>
      </w:pPr>
    </w:p>
    <w:p w:rsidR="008F1A05" w:rsidRPr="00F211E9" w:rsidRDefault="008F1A05" w:rsidP="00282221">
      <w:pPr>
        <w:pStyle w:val="ListParagraph"/>
        <w:numPr>
          <w:ilvl w:val="0"/>
          <w:numId w:val="35"/>
        </w:numPr>
        <w:autoSpaceDE w:val="0"/>
        <w:autoSpaceDN w:val="0"/>
        <w:adjustRightInd w:val="0"/>
        <w:spacing w:after="0" w:line="240" w:lineRule="auto"/>
        <w:ind w:left="0" w:right="-63"/>
        <w:rPr>
          <w:rFonts w:ascii="Arial" w:hAnsi="Arial" w:cs="Arial"/>
          <w:sz w:val="20"/>
          <w:szCs w:val="20"/>
        </w:rPr>
      </w:pPr>
      <w:r w:rsidRPr="00F211E9">
        <w:rPr>
          <w:rFonts w:ascii="Arial" w:hAnsi="Arial" w:cs="Arial"/>
          <w:sz w:val="20"/>
          <w:szCs w:val="20"/>
        </w:rPr>
        <w:t>An individual’s net investment income for the year, or</w:t>
      </w:r>
    </w:p>
    <w:p w:rsidR="008F1A05" w:rsidRPr="00F211E9" w:rsidRDefault="008F1A05" w:rsidP="00282221">
      <w:pPr>
        <w:pStyle w:val="ListParagraph"/>
        <w:numPr>
          <w:ilvl w:val="0"/>
          <w:numId w:val="35"/>
        </w:numPr>
        <w:autoSpaceDE w:val="0"/>
        <w:autoSpaceDN w:val="0"/>
        <w:adjustRightInd w:val="0"/>
        <w:spacing w:after="0" w:line="240" w:lineRule="auto"/>
        <w:ind w:left="0" w:right="-63"/>
        <w:rPr>
          <w:rFonts w:ascii="Arial" w:hAnsi="Arial" w:cs="Arial"/>
          <w:sz w:val="20"/>
          <w:szCs w:val="20"/>
        </w:rPr>
      </w:pPr>
      <w:r w:rsidRPr="00F211E9">
        <w:rPr>
          <w:rFonts w:ascii="Arial" w:hAnsi="Arial" w:cs="Arial"/>
          <w:sz w:val="20"/>
          <w:szCs w:val="20"/>
        </w:rPr>
        <w:t>The amount by which the individual’s AGI for the year exceeds a threshold amount.</w:t>
      </w:r>
    </w:p>
    <w:p w:rsidR="008F1A05" w:rsidRPr="00F211E9" w:rsidRDefault="008F1A05" w:rsidP="00282221">
      <w:pPr>
        <w:autoSpaceDE w:val="0"/>
        <w:autoSpaceDN w:val="0"/>
        <w:adjustRightInd w:val="0"/>
        <w:spacing w:after="0" w:line="240" w:lineRule="auto"/>
        <w:ind w:left="-360" w:right="-63"/>
        <w:rPr>
          <w:rFonts w:ascii="Arial" w:hAnsi="Arial" w:cs="Arial"/>
          <w:sz w:val="20"/>
          <w:szCs w:val="20"/>
        </w:rPr>
      </w:pPr>
    </w:p>
    <w:p w:rsidR="008F1A05" w:rsidRPr="00F211E9" w:rsidRDefault="008F1A05" w:rsidP="00282221">
      <w:pPr>
        <w:autoSpaceDE w:val="0"/>
        <w:autoSpaceDN w:val="0"/>
        <w:adjustRightInd w:val="0"/>
        <w:spacing w:after="0" w:line="240" w:lineRule="auto"/>
        <w:ind w:left="-360" w:right="-63"/>
        <w:rPr>
          <w:rFonts w:ascii="Arial" w:hAnsi="Arial" w:cs="Arial"/>
          <w:sz w:val="20"/>
          <w:szCs w:val="20"/>
        </w:rPr>
      </w:pPr>
      <w:r w:rsidRPr="00F211E9">
        <w:rPr>
          <w:rFonts w:ascii="Arial" w:hAnsi="Arial" w:cs="Arial"/>
          <w:sz w:val="20"/>
          <w:szCs w:val="20"/>
        </w:rPr>
        <w:t>The threshold amounts are the same as those for the new health insurance tax – $250,000 for a joint return or surviving spouse and $200,000 for an unmarried individual.</w:t>
      </w:r>
    </w:p>
    <w:p w:rsidR="008F1A05" w:rsidRPr="00F211E9" w:rsidRDefault="008F1A05" w:rsidP="00282221">
      <w:pPr>
        <w:autoSpaceDE w:val="0"/>
        <w:autoSpaceDN w:val="0"/>
        <w:adjustRightInd w:val="0"/>
        <w:spacing w:after="0" w:line="240" w:lineRule="auto"/>
        <w:ind w:left="-360" w:right="-63"/>
        <w:rPr>
          <w:rFonts w:ascii="Arial" w:hAnsi="Arial" w:cs="Arial"/>
          <w:sz w:val="20"/>
          <w:szCs w:val="20"/>
        </w:rPr>
      </w:pPr>
    </w:p>
    <w:p w:rsidR="008F1A05" w:rsidRPr="00F211E9" w:rsidRDefault="008F1A05" w:rsidP="00282221">
      <w:pPr>
        <w:autoSpaceDE w:val="0"/>
        <w:autoSpaceDN w:val="0"/>
        <w:adjustRightInd w:val="0"/>
        <w:spacing w:after="0" w:line="240" w:lineRule="auto"/>
        <w:ind w:left="-360" w:right="-63"/>
        <w:rPr>
          <w:rFonts w:ascii="Arial" w:hAnsi="Arial" w:cs="Arial"/>
          <w:b/>
          <w:sz w:val="20"/>
          <w:szCs w:val="20"/>
        </w:rPr>
      </w:pPr>
      <w:r w:rsidRPr="00F211E9">
        <w:rPr>
          <w:rFonts w:ascii="Arial" w:hAnsi="Arial" w:cs="Arial"/>
          <w:b/>
          <w:sz w:val="20"/>
          <w:szCs w:val="20"/>
        </w:rPr>
        <w:t>Medical expense itemized deduction threshold</w:t>
      </w:r>
    </w:p>
    <w:p w:rsidR="008F1A05" w:rsidRPr="00F211E9" w:rsidRDefault="008F1A05" w:rsidP="00282221">
      <w:pPr>
        <w:autoSpaceDE w:val="0"/>
        <w:autoSpaceDN w:val="0"/>
        <w:adjustRightInd w:val="0"/>
        <w:spacing w:after="0" w:line="240" w:lineRule="auto"/>
        <w:ind w:left="-360" w:right="-63"/>
        <w:rPr>
          <w:rFonts w:ascii="Arial" w:hAnsi="Arial" w:cs="Arial"/>
          <w:sz w:val="20"/>
          <w:szCs w:val="20"/>
        </w:rPr>
      </w:pPr>
    </w:p>
    <w:p w:rsidR="008F1A05" w:rsidRPr="00F211E9" w:rsidRDefault="008F1A05" w:rsidP="00282221">
      <w:pPr>
        <w:autoSpaceDE w:val="0"/>
        <w:autoSpaceDN w:val="0"/>
        <w:adjustRightInd w:val="0"/>
        <w:spacing w:after="0" w:line="240" w:lineRule="auto"/>
        <w:ind w:left="-360" w:right="-63"/>
        <w:rPr>
          <w:rFonts w:ascii="Arial" w:hAnsi="Arial" w:cs="Arial"/>
          <w:sz w:val="20"/>
          <w:szCs w:val="20"/>
        </w:rPr>
      </w:pPr>
      <w:r w:rsidRPr="00F211E9">
        <w:rPr>
          <w:rFonts w:ascii="Arial" w:hAnsi="Arial" w:cs="Arial"/>
          <w:sz w:val="20"/>
          <w:szCs w:val="20"/>
        </w:rPr>
        <w:t>The threshold for the itemized deduction for medical expenses not covered by insurance is increased to 10 percent of AGI. In the years 2013-2016, if the individual or either spouse on a joint return has turned age 65, the threshold remains at 7.5 percent of AGI.</w:t>
      </w:r>
    </w:p>
    <w:p w:rsidR="002859CE" w:rsidRDefault="002859CE" w:rsidP="00282221">
      <w:pPr>
        <w:autoSpaceDE w:val="0"/>
        <w:autoSpaceDN w:val="0"/>
        <w:adjustRightInd w:val="0"/>
        <w:spacing w:after="0" w:line="240" w:lineRule="auto"/>
        <w:ind w:right="-63"/>
        <w:rPr>
          <w:rFonts w:ascii="Arial" w:hAnsi="Arial" w:cs="Arial"/>
          <w:b/>
          <w:sz w:val="20"/>
          <w:szCs w:val="20"/>
        </w:rPr>
      </w:pPr>
    </w:p>
    <w:p w:rsidR="008F1A05" w:rsidRDefault="008F1A05" w:rsidP="00282221">
      <w:pPr>
        <w:autoSpaceDE w:val="0"/>
        <w:autoSpaceDN w:val="0"/>
        <w:adjustRightInd w:val="0"/>
        <w:spacing w:after="0" w:line="240" w:lineRule="auto"/>
        <w:ind w:left="-360" w:right="-63"/>
        <w:rPr>
          <w:rFonts w:ascii="Arial" w:hAnsi="Arial" w:cs="Arial"/>
          <w:b/>
          <w:sz w:val="20"/>
          <w:szCs w:val="20"/>
        </w:rPr>
      </w:pPr>
      <w:r w:rsidRPr="00F211E9">
        <w:rPr>
          <w:rFonts w:ascii="Arial" w:hAnsi="Arial" w:cs="Arial"/>
          <w:b/>
          <w:sz w:val="20"/>
          <w:szCs w:val="20"/>
        </w:rPr>
        <w:t>Tax Planning Considerations</w:t>
      </w:r>
    </w:p>
    <w:p w:rsidR="002859CE" w:rsidRPr="00F211E9" w:rsidRDefault="002859CE" w:rsidP="00282221">
      <w:pPr>
        <w:autoSpaceDE w:val="0"/>
        <w:autoSpaceDN w:val="0"/>
        <w:adjustRightInd w:val="0"/>
        <w:spacing w:after="0" w:line="240" w:lineRule="auto"/>
        <w:ind w:left="-360" w:right="-63"/>
        <w:rPr>
          <w:rFonts w:ascii="Arial" w:hAnsi="Arial" w:cs="Arial"/>
          <w:b/>
          <w:sz w:val="20"/>
          <w:szCs w:val="20"/>
        </w:rPr>
      </w:pPr>
    </w:p>
    <w:p w:rsidR="008F1A05" w:rsidRPr="00F211E9" w:rsidRDefault="008F1A05" w:rsidP="00282221">
      <w:pPr>
        <w:autoSpaceDE w:val="0"/>
        <w:autoSpaceDN w:val="0"/>
        <w:adjustRightInd w:val="0"/>
        <w:spacing w:after="0" w:line="240" w:lineRule="auto"/>
        <w:ind w:left="-360" w:right="-63"/>
        <w:rPr>
          <w:rFonts w:ascii="Arial" w:hAnsi="Arial" w:cs="Arial"/>
          <w:sz w:val="20"/>
          <w:szCs w:val="20"/>
        </w:rPr>
      </w:pPr>
      <w:r w:rsidRPr="00F211E9">
        <w:rPr>
          <w:rFonts w:ascii="Arial" w:hAnsi="Arial" w:cs="Arial"/>
          <w:sz w:val="20"/>
          <w:szCs w:val="20"/>
        </w:rPr>
        <w:t>A common theme of recent tax legislation has been to place most, if not all, of the burden of new taxes on “wealthy” individuals. In so doing, Congress has defined the wealthy as those with an income above a certain threshold.</w:t>
      </w:r>
    </w:p>
    <w:p w:rsidR="008F1A05" w:rsidRPr="00F211E9" w:rsidRDefault="008F1A05" w:rsidP="00282221">
      <w:pPr>
        <w:autoSpaceDE w:val="0"/>
        <w:autoSpaceDN w:val="0"/>
        <w:adjustRightInd w:val="0"/>
        <w:spacing w:after="0" w:line="240" w:lineRule="auto"/>
        <w:ind w:left="-360" w:right="-63"/>
        <w:rPr>
          <w:rFonts w:ascii="Arial" w:hAnsi="Arial" w:cs="Arial"/>
          <w:sz w:val="20"/>
          <w:szCs w:val="20"/>
        </w:rPr>
      </w:pPr>
    </w:p>
    <w:p w:rsidR="008F1A05" w:rsidRPr="00F211E9" w:rsidRDefault="008F1A05" w:rsidP="00282221">
      <w:pPr>
        <w:autoSpaceDE w:val="0"/>
        <w:autoSpaceDN w:val="0"/>
        <w:adjustRightInd w:val="0"/>
        <w:spacing w:after="0" w:line="240" w:lineRule="auto"/>
        <w:ind w:left="-360" w:right="-63"/>
        <w:rPr>
          <w:rFonts w:ascii="Arial" w:hAnsi="Arial" w:cs="Arial"/>
          <w:sz w:val="20"/>
          <w:szCs w:val="20"/>
        </w:rPr>
      </w:pPr>
      <w:r w:rsidRPr="00F211E9">
        <w:rPr>
          <w:rFonts w:ascii="Arial" w:hAnsi="Arial" w:cs="Arial"/>
          <w:sz w:val="20"/>
          <w:szCs w:val="20"/>
        </w:rPr>
        <w:t>Unfortunately, Congress has chosen multiple different income levels. For example, a married couple filing a joint return is wealthy if:</w:t>
      </w:r>
    </w:p>
    <w:p w:rsidR="008F1A05" w:rsidRPr="00F211E9" w:rsidRDefault="008F1A05" w:rsidP="00282221">
      <w:pPr>
        <w:autoSpaceDE w:val="0"/>
        <w:autoSpaceDN w:val="0"/>
        <w:adjustRightInd w:val="0"/>
        <w:spacing w:after="0" w:line="240" w:lineRule="auto"/>
        <w:ind w:left="-360" w:right="-63"/>
        <w:rPr>
          <w:rFonts w:ascii="Arial" w:hAnsi="Arial" w:cs="Arial"/>
          <w:sz w:val="20"/>
          <w:szCs w:val="20"/>
        </w:rPr>
      </w:pPr>
    </w:p>
    <w:p w:rsidR="008F1A05" w:rsidRPr="00F211E9" w:rsidRDefault="008F1A05" w:rsidP="00282221">
      <w:pPr>
        <w:pStyle w:val="ListParagraph"/>
        <w:numPr>
          <w:ilvl w:val="0"/>
          <w:numId w:val="36"/>
        </w:numPr>
        <w:autoSpaceDE w:val="0"/>
        <w:autoSpaceDN w:val="0"/>
        <w:adjustRightInd w:val="0"/>
        <w:spacing w:after="0" w:line="240" w:lineRule="auto"/>
        <w:ind w:left="0" w:right="-63"/>
        <w:rPr>
          <w:rFonts w:ascii="Arial" w:hAnsi="Arial" w:cs="Arial"/>
          <w:sz w:val="20"/>
          <w:szCs w:val="20"/>
        </w:rPr>
      </w:pPr>
      <w:r w:rsidRPr="00F211E9">
        <w:rPr>
          <w:rFonts w:ascii="Arial" w:hAnsi="Arial" w:cs="Arial"/>
          <w:sz w:val="20"/>
          <w:szCs w:val="20"/>
        </w:rPr>
        <w:t>Taxable income exceeds $450,000 for purposes of the 39.6 percent tax rate.</w:t>
      </w:r>
    </w:p>
    <w:p w:rsidR="008F1A05" w:rsidRPr="00F211E9" w:rsidRDefault="008F1A05" w:rsidP="00282221">
      <w:pPr>
        <w:pStyle w:val="ListParagraph"/>
        <w:numPr>
          <w:ilvl w:val="0"/>
          <w:numId w:val="36"/>
        </w:numPr>
        <w:autoSpaceDE w:val="0"/>
        <w:autoSpaceDN w:val="0"/>
        <w:adjustRightInd w:val="0"/>
        <w:spacing w:after="0" w:line="240" w:lineRule="auto"/>
        <w:ind w:left="0" w:right="-63"/>
        <w:rPr>
          <w:rFonts w:ascii="Arial" w:hAnsi="Arial" w:cs="Arial"/>
          <w:sz w:val="20"/>
          <w:szCs w:val="20"/>
        </w:rPr>
      </w:pPr>
      <w:r w:rsidRPr="00F211E9">
        <w:rPr>
          <w:rFonts w:ascii="Arial" w:hAnsi="Arial" w:cs="Arial"/>
          <w:sz w:val="20"/>
          <w:szCs w:val="20"/>
        </w:rPr>
        <w:t xml:space="preserve">Adjusted gross income exceeds $300,000 for purposes of the </w:t>
      </w:r>
      <w:proofErr w:type="spellStart"/>
      <w:r w:rsidRPr="00F211E9">
        <w:rPr>
          <w:rFonts w:ascii="Arial" w:hAnsi="Arial" w:cs="Arial"/>
          <w:sz w:val="20"/>
          <w:szCs w:val="20"/>
        </w:rPr>
        <w:t>phaseout</w:t>
      </w:r>
      <w:proofErr w:type="spellEnd"/>
      <w:r w:rsidRPr="00F211E9">
        <w:rPr>
          <w:rFonts w:ascii="Arial" w:hAnsi="Arial" w:cs="Arial"/>
          <w:sz w:val="20"/>
          <w:szCs w:val="20"/>
        </w:rPr>
        <w:t xml:space="preserve"> of the exemption deduction and certain itemized deductions.</w:t>
      </w:r>
    </w:p>
    <w:p w:rsidR="008F1A05" w:rsidRPr="00F211E9" w:rsidRDefault="008F1A05" w:rsidP="00282221">
      <w:pPr>
        <w:pStyle w:val="ListParagraph"/>
        <w:numPr>
          <w:ilvl w:val="0"/>
          <w:numId w:val="36"/>
        </w:numPr>
        <w:autoSpaceDE w:val="0"/>
        <w:autoSpaceDN w:val="0"/>
        <w:adjustRightInd w:val="0"/>
        <w:spacing w:after="0" w:line="240" w:lineRule="auto"/>
        <w:ind w:left="0" w:right="-63"/>
        <w:rPr>
          <w:rFonts w:ascii="Arial" w:hAnsi="Arial" w:cs="Arial"/>
          <w:sz w:val="20"/>
          <w:szCs w:val="20"/>
        </w:rPr>
      </w:pPr>
      <w:r w:rsidRPr="00F211E9">
        <w:rPr>
          <w:rFonts w:ascii="Arial" w:hAnsi="Arial" w:cs="Arial"/>
          <w:sz w:val="20"/>
          <w:szCs w:val="20"/>
        </w:rPr>
        <w:t>Adjusted gross income exceeds $250,000 for purposes of the new healthcare taxes on earned income and net investment income.</w:t>
      </w:r>
    </w:p>
    <w:p w:rsidR="008F1A05" w:rsidRPr="00F211E9" w:rsidRDefault="008F1A05" w:rsidP="00282221">
      <w:pPr>
        <w:autoSpaceDE w:val="0"/>
        <w:autoSpaceDN w:val="0"/>
        <w:adjustRightInd w:val="0"/>
        <w:spacing w:after="0" w:line="240" w:lineRule="auto"/>
        <w:ind w:left="-360" w:right="-63"/>
        <w:rPr>
          <w:rFonts w:ascii="Arial" w:hAnsi="Arial" w:cs="Arial"/>
          <w:sz w:val="20"/>
          <w:szCs w:val="20"/>
        </w:rPr>
      </w:pPr>
    </w:p>
    <w:p w:rsidR="00021655" w:rsidRDefault="008F1A05" w:rsidP="00282221">
      <w:pPr>
        <w:autoSpaceDE w:val="0"/>
        <w:autoSpaceDN w:val="0"/>
        <w:adjustRightInd w:val="0"/>
        <w:spacing w:after="0" w:line="240" w:lineRule="auto"/>
        <w:ind w:left="-360" w:right="-63"/>
        <w:rPr>
          <w:rFonts w:ascii="Arial" w:hAnsi="Arial" w:cs="Arial"/>
          <w:sz w:val="20"/>
          <w:szCs w:val="20"/>
        </w:rPr>
      </w:pPr>
      <w:r w:rsidRPr="00F211E9">
        <w:rPr>
          <w:rFonts w:ascii="Arial" w:hAnsi="Arial" w:cs="Arial"/>
          <w:sz w:val="20"/>
          <w:szCs w:val="20"/>
        </w:rPr>
        <w:t xml:space="preserve">Taxpayers should expect a significant element of future tax planning to include trying to manage their annual income to stay below the various thresholds. To do so, they will want to avoid income spikes – such as large one-time gains on the sale of a business or another investment, a large one-time bonus from their employer, or election of a lump-sum payout if they win the lottery. </w:t>
      </w:r>
    </w:p>
    <w:p w:rsidR="00282221" w:rsidRPr="00F211E9" w:rsidRDefault="00282221" w:rsidP="00282221">
      <w:pPr>
        <w:autoSpaceDE w:val="0"/>
        <w:autoSpaceDN w:val="0"/>
        <w:adjustRightInd w:val="0"/>
        <w:spacing w:after="0" w:line="240" w:lineRule="auto"/>
        <w:ind w:left="-360" w:right="207"/>
        <w:rPr>
          <w:rFonts w:ascii="Arial" w:hAnsi="Arial" w:cs="Arial"/>
          <w:sz w:val="20"/>
          <w:szCs w:val="20"/>
        </w:rPr>
      </w:pPr>
    </w:p>
    <w:p w:rsidR="009E4D5A" w:rsidRDefault="008F1A05" w:rsidP="009E4D5A">
      <w:pPr>
        <w:autoSpaceDE w:val="0"/>
        <w:autoSpaceDN w:val="0"/>
        <w:adjustRightInd w:val="0"/>
        <w:spacing w:after="0" w:line="240" w:lineRule="auto"/>
        <w:ind w:left="-360" w:right="-63"/>
        <w:rPr>
          <w:rFonts w:ascii="Arial" w:hAnsi="Arial" w:cs="Arial"/>
          <w:sz w:val="20"/>
          <w:szCs w:val="20"/>
        </w:rPr>
      </w:pPr>
      <w:r w:rsidRPr="00F211E9">
        <w:rPr>
          <w:rFonts w:ascii="Arial" w:hAnsi="Arial" w:cs="Arial"/>
          <w:sz w:val="20"/>
          <w:szCs w:val="20"/>
        </w:rPr>
        <w:t>Techniques like installment sales in the case of gains, deferred compensation arrangements for bonuses and annuitizing lottery winnings may prove advantageous in</w:t>
      </w:r>
      <w:r w:rsidR="009E4D5A">
        <w:rPr>
          <w:rFonts w:ascii="Arial" w:hAnsi="Arial" w:cs="Arial"/>
          <w:sz w:val="20"/>
          <w:szCs w:val="20"/>
        </w:rPr>
        <w:t xml:space="preserve"> </w:t>
      </w:r>
      <w:r w:rsidRPr="00F211E9">
        <w:rPr>
          <w:rFonts w:ascii="Arial" w:hAnsi="Arial" w:cs="Arial"/>
          <w:sz w:val="20"/>
          <w:szCs w:val="20"/>
        </w:rPr>
        <w:t xml:space="preserve">some cases. And, since the </w:t>
      </w:r>
      <w:r w:rsidR="00AA5B8B">
        <w:rPr>
          <w:rFonts w:ascii="Arial" w:hAnsi="Arial" w:cs="Arial"/>
          <w:sz w:val="20"/>
          <w:szCs w:val="20"/>
        </w:rPr>
        <w:t>top tax rate on conventional C C</w:t>
      </w:r>
      <w:r w:rsidRPr="00F211E9">
        <w:rPr>
          <w:rFonts w:ascii="Arial" w:hAnsi="Arial" w:cs="Arial"/>
          <w:sz w:val="20"/>
          <w:szCs w:val="20"/>
        </w:rPr>
        <w:t>orporations remains at 35 percent, which is now lower than the top rate that applies to individuals, it may make</w:t>
      </w:r>
    </w:p>
    <w:p w:rsidR="008F1A05" w:rsidRPr="00F211E9" w:rsidRDefault="008F1A05" w:rsidP="009E4D5A">
      <w:pPr>
        <w:autoSpaceDE w:val="0"/>
        <w:autoSpaceDN w:val="0"/>
        <w:adjustRightInd w:val="0"/>
        <w:spacing w:after="0" w:line="240" w:lineRule="auto"/>
        <w:ind w:right="297"/>
        <w:rPr>
          <w:rFonts w:ascii="Arial" w:hAnsi="Arial" w:cs="Arial"/>
          <w:sz w:val="20"/>
          <w:szCs w:val="20"/>
        </w:rPr>
      </w:pPr>
      <w:proofErr w:type="gramStart"/>
      <w:r w:rsidRPr="00F211E9">
        <w:rPr>
          <w:rFonts w:ascii="Arial" w:hAnsi="Arial" w:cs="Arial"/>
          <w:sz w:val="20"/>
          <w:szCs w:val="20"/>
        </w:rPr>
        <w:lastRenderedPageBreak/>
        <w:t>sense</w:t>
      </w:r>
      <w:proofErr w:type="gramEnd"/>
      <w:r w:rsidRPr="00F211E9">
        <w:rPr>
          <w:rFonts w:ascii="Arial" w:hAnsi="Arial" w:cs="Arial"/>
          <w:sz w:val="20"/>
          <w:szCs w:val="20"/>
        </w:rPr>
        <w:t xml:space="preserve"> to consider this entity structure for current or future businesses.</w:t>
      </w:r>
    </w:p>
    <w:p w:rsidR="008F1A05" w:rsidRPr="00F211E9" w:rsidRDefault="008F1A05" w:rsidP="00282221">
      <w:pPr>
        <w:tabs>
          <w:tab w:val="left" w:pos="4590"/>
        </w:tabs>
        <w:autoSpaceDE w:val="0"/>
        <w:autoSpaceDN w:val="0"/>
        <w:adjustRightInd w:val="0"/>
        <w:spacing w:after="0" w:line="240" w:lineRule="auto"/>
        <w:ind w:right="297"/>
        <w:rPr>
          <w:rFonts w:ascii="Arial" w:hAnsi="Arial" w:cs="Arial"/>
          <w:sz w:val="20"/>
          <w:szCs w:val="20"/>
        </w:rPr>
      </w:pPr>
    </w:p>
    <w:p w:rsidR="008F1A05" w:rsidRPr="00F211E9" w:rsidRDefault="008F1A05" w:rsidP="00282221">
      <w:pPr>
        <w:tabs>
          <w:tab w:val="left" w:pos="4590"/>
        </w:tabs>
        <w:autoSpaceDE w:val="0"/>
        <w:autoSpaceDN w:val="0"/>
        <w:adjustRightInd w:val="0"/>
        <w:spacing w:after="0" w:line="240" w:lineRule="auto"/>
        <w:ind w:right="297"/>
        <w:rPr>
          <w:rFonts w:ascii="Arial" w:hAnsi="Arial" w:cs="Arial"/>
          <w:sz w:val="20"/>
          <w:szCs w:val="20"/>
        </w:rPr>
      </w:pPr>
      <w:r w:rsidRPr="00F211E9">
        <w:rPr>
          <w:rFonts w:ascii="Arial" w:hAnsi="Arial" w:cs="Arial"/>
          <w:sz w:val="20"/>
          <w:szCs w:val="20"/>
        </w:rPr>
        <w:t xml:space="preserve">Now is an excellent time to visit with your tax adviser, who can help </w:t>
      </w:r>
      <w:proofErr w:type="gramStart"/>
      <w:r w:rsidRPr="00F211E9">
        <w:rPr>
          <w:rFonts w:ascii="Arial" w:hAnsi="Arial" w:cs="Arial"/>
          <w:sz w:val="20"/>
          <w:szCs w:val="20"/>
        </w:rPr>
        <w:t>you</w:t>
      </w:r>
      <w:proofErr w:type="gramEnd"/>
      <w:r w:rsidRPr="00F211E9">
        <w:rPr>
          <w:rFonts w:ascii="Arial" w:hAnsi="Arial" w:cs="Arial"/>
          <w:sz w:val="20"/>
          <w:szCs w:val="20"/>
        </w:rPr>
        <w:t xml:space="preserve"> plan to minimize these tax increases and take maximum advantage of the extended tax breaks.</w:t>
      </w:r>
    </w:p>
    <w:p w:rsidR="008F1A05" w:rsidRPr="00F211E9" w:rsidRDefault="008F1A05" w:rsidP="00282221">
      <w:pPr>
        <w:tabs>
          <w:tab w:val="left" w:pos="4590"/>
        </w:tabs>
        <w:autoSpaceDE w:val="0"/>
        <w:autoSpaceDN w:val="0"/>
        <w:adjustRightInd w:val="0"/>
        <w:spacing w:after="0" w:line="240" w:lineRule="auto"/>
        <w:ind w:right="297"/>
        <w:rPr>
          <w:rFonts w:ascii="Arial" w:hAnsi="Arial" w:cs="Arial"/>
          <w:sz w:val="20"/>
          <w:szCs w:val="20"/>
        </w:rPr>
      </w:pPr>
    </w:p>
    <w:p w:rsidR="008F1A05" w:rsidRPr="00F211E9" w:rsidRDefault="008F1A05" w:rsidP="00282221">
      <w:pPr>
        <w:tabs>
          <w:tab w:val="left" w:pos="4590"/>
        </w:tabs>
        <w:autoSpaceDE w:val="0"/>
        <w:autoSpaceDN w:val="0"/>
        <w:adjustRightInd w:val="0"/>
        <w:spacing w:after="0" w:line="240" w:lineRule="auto"/>
        <w:ind w:right="297"/>
        <w:rPr>
          <w:rFonts w:ascii="Arial" w:hAnsi="Arial" w:cs="Arial"/>
          <w:b/>
          <w:sz w:val="20"/>
          <w:szCs w:val="20"/>
        </w:rPr>
      </w:pPr>
      <w:r w:rsidRPr="00F211E9">
        <w:rPr>
          <w:rFonts w:ascii="Arial" w:hAnsi="Arial" w:cs="Arial"/>
          <w:b/>
          <w:sz w:val="20"/>
          <w:szCs w:val="20"/>
        </w:rPr>
        <w:t>Future Tax Legislation</w:t>
      </w:r>
    </w:p>
    <w:p w:rsidR="008F1A05" w:rsidRPr="00F211E9" w:rsidRDefault="008F1A05" w:rsidP="00282221">
      <w:pPr>
        <w:tabs>
          <w:tab w:val="left" w:pos="4590"/>
        </w:tabs>
        <w:autoSpaceDE w:val="0"/>
        <w:autoSpaceDN w:val="0"/>
        <w:adjustRightInd w:val="0"/>
        <w:spacing w:after="0" w:line="240" w:lineRule="auto"/>
        <w:ind w:right="297"/>
        <w:rPr>
          <w:rFonts w:ascii="Arial" w:hAnsi="Arial" w:cs="Arial"/>
          <w:sz w:val="20"/>
          <w:szCs w:val="20"/>
        </w:rPr>
      </w:pPr>
    </w:p>
    <w:p w:rsidR="008F1A05" w:rsidRDefault="008F1A05" w:rsidP="00282221">
      <w:pPr>
        <w:tabs>
          <w:tab w:val="left" w:pos="4590"/>
        </w:tabs>
        <w:autoSpaceDE w:val="0"/>
        <w:autoSpaceDN w:val="0"/>
        <w:adjustRightInd w:val="0"/>
        <w:spacing w:after="0" w:line="240" w:lineRule="auto"/>
        <w:ind w:right="297"/>
        <w:rPr>
          <w:rFonts w:ascii="Arial" w:hAnsi="Arial" w:cs="Arial"/>
          <w:sz w:val="20"/>
          <w:szCs w:val="20"/>
        </w:rPr>
      </w:pPr>
      <w:r w:rsidRPr="00F211E9">
        <w:rPr>
          <w:rFonts w:ascii="Arial" w:hAnsi="Arial" w:cs="Arial"/>
          <w:sz w:val="20"/>
          <w:szCs w:val="20"/>
        </w:rPr>
        <w:t>The new legislation does not come close to solving the budget issues that Congress faces. Expect the debate to continue about future spending cuts and revenue enhancements.</w:t>
      </w:r>
    </w:p>
    <w:p w:rsidR="001A3676" w:rsidRDefault="001A3676" w:rsidP="00282221">
      <w:pPr>
        <w:tabs>
          <w:tab w:val="left" w:pos="4590"/>
        </w:tabs>
        <w:autoSpaceDE w:val="0"/>
        <w:autoSpaceDN w:val="0"/>
        <w:adjustRightInd w:val="0"/>
        <w:spacing w:after="0" w:line="240" w:lineRule="auto"/>
        <w:ind w:right="297"/>
        <w:rPr>
          <w:rFonts w:ascii="Arial" w:hAnsi="Arial" w:cs="Arial"/>
          <w:sz w:val="20"/>
          <w:szCs w:val="20"/>
        </w:rPr>
      </w:pPr>
    </w:p>
    <w:p w:rsidR="00E809AA" w:rsidRDefault="001A3676" w:rsidP="00282221">
      <w:pPr>
        <w:tabs>
          <w:tab w:val="left" w:pos="4590"/>
        </w:tabs>
        <w:autoSpaceDE w:val="0"/>
        <w:autoSpaceDN w:val="0"/>
        <w:adjustRightInd w:val="0"/>
        <w:spacing w:after="0" w:line="240" w:lineRule="auto"/>
        <w:ind w:right="297"/>
        <w:rPr>
          <w:rFonts w:ascii="Arial" w:hAnsi="Arial" w:cs="Arial"/>
          <w:sz w:val="20"/>
          <w:szCs w:val="20"/>
        </w:rPr>
      </w:pPr>
      <w:r>
        <w:rPr>
          <w:rFonts w:ascii="Arial" w:hAnsi="Arial" w:cs="Arial"/>
          <w:sz w:val="20"/>
          <w:szCs w:val="20"/>
        </w:rPr>
        <w:t>If you have any questions or would like to discuss any of the above items in greater detail and how they may apply to your specific tax situation, please call our office.</w:t>
      </w:r>
    </w:p>
    <w:p w:rsidR="001F034D" w:rsidRDefault="001F034D" w:rsidP="0018791B">
      <w:pPr>
        <w:autoSpaceDE w:val="0"/>
        <w:autoSpaceDN w:val="0"/>
        <w:adjustRightInd w:val="0"/>
        <w:spacing w:after="0" w:line="240" w:lineRule="auto"/>
        <w:rPr>
          <w:rFonts w:ascii="Arial" w:hAnsi="Arial" w:cs="Arial"/>
          <w:sz w:val="20"/>
          <w:szCs w:val="20"/>
        </w:rPr>
      </w:pPr>
    </w:p>
    <w:p w:rsidR="001F034D" w:rsidRDefault="001F034D" w:rsidP="00571999">
      <w:pPr>
        <w:autoSpaceDE w:val="0"/>
        <w:autoSpaceDN w:val="0"/>
        <w:adjustRightInd w:val="0"/>
        <w:spacing w:after="0" w:line="240" w:lineRule="auto"/>
        <w:ind w:left="1440"/>
      </w:pPr>
      <w:r>
        <w:rPr>
          <w:rFonts w:ascii="Arial" w:hAnsi="Arial" w:cs="Arial"/>
          <w:noProof/>
          <w:sz w:val="20"/>
          <w:szCs w:val="20"/>
        </w:rPr>
        <w:drawing>
          <wp:inline distT="0" distB="0" distL="0" distR="0">
            <wp:extent cx="1039091" cy="655960"/>
            <wp:effectExtent l="0" t="0" r="8890" b="0"/>
            <wp:docPr id="14" name="Picture 14" descr="C:\Users\RobertR\Desktop\11970923401034042874Gerald_G_US_Capitol_Building_1_svg_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obertR\Desktop\11970923401034042874Gerald_G_US_Capitol_Building_1_svg_hi.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51" cy="668624"/>
                    </a:xfrm>
                    <a:prstGeom prst="rect">
                      <a:avLst/>
                    </a:prstGeom>
                    <a:noFill/>
                    <a:ln>
                      <a:noFill/>
                    </a:ln>
                  </pic:spPr>
                </pic:pic>
              </a:graphicData>
            </a:graphic>
          </wp:inline>
        </w:drawing>
      </w:r>
      <w:bookmarkStart w:id="0" w:name="_GoBack"/>
      <w:bookmarkEnd w:id="0"/>
    </w:p>
    <w:p w:rsidR="00571999" w:rsidRDefault="00571999" w:rsidP="0018791B">
      <w:pPr>
        <w:autoSpaceDE w:val="0"/>
        <w:autoSpaceDN w:val="0"/>
        <w:adjustRightInd w:val="0"/>
        <w:spacing w:after="0" w:line="240" w:lineRule="auto"/>
      </w:pPr>
    </w:p>
    <w:p w:rsidR="00571999" w:rsidRPr="00571999" w:rsidRDefault="00571999" w:rsidP="00571999">
      <w:pPr>
        <w:tabs>
          <w:tab w:val="left" w:pos="4590"/>
        </w:tabs>
        <w:autoSpaceDE w:val="0"/>
        <w:autoSpaceDN w:val="0"/>
        <w:adjustRightInd w:val="0"/>
        <w:spacing w:after="0" w:line="240" w:lineRule="auto"/>
        <w:ind w:right="297"/>
        <w:rPr>
          <w:rFonts w:ascii="Arial" w:hAnsi="Arial" w:cs="Arial"/>
          <w:b/>
          <w:sz w:val="20"/>
          <w:szCs w:val="20"/>
        </w:rPr>
      </w:pPr>
      <w:r w:rsidRPr="00571999">
        <w:rPr>
          <w:rFonts w:ascii="Arial" w:hAnsi="Arial" w:cs="Arial"/>
          <w:b/>
          <w:sz w:val="20"/>
          <w:szCs w:val="20"/>
        </w:rPr>
        <w:t>2013 Refund Cycle Chart</w:t>
      </w:r>
    </w:p>
    <w:p w:rsidR="00571999" w:rsidRPr="00571999" w:rsidRDefault="00571999" w:rsidP="00571999">
      <w:pPr>
        <w:tabs>
          <w:tab w:val="left" w:pos="4590"/>
        </w:tabs>
        <w:autoSpaceDE w:val="0"/>
        <w:autoSpaceDN w:val="0"/>
        <w:adjustRightInd w:val="0"/>
        <w:spacing w:after="0" w:line="240" w:lineRule="auto"/>
        <w:ind w:right="297"/>
        <w:rPr>
          <w:rFonts w:ascii="Arial" w:hAnsi="Arial" w:cs="Arial"/>
          <w:sz w:val="20"/>
          <w:szCs w:val="20"/>
        </w:rPr>
      </w:pPr>
    </w:p>
    <w:p w:rsidR="00571999" w:rsidRDefault="00571999" w:rsidP="00571999">
      <w:pPr>
        <w:spacing w:line="240" w:lineRule="auto"/>
      </w:pPr>
      <w:r w:rsidRPr="00571999">
        <w:rPr>
          <w:rFonts w:ascii="Arial" w:hAnsi="Arial" w:cs="Arial"/>
          <w:sz w:val="20"/>
          <w:szCs w:val="20"/>
        </w:rPr>
        <w:t>“When can I expect to receive my refund?” is the most frequently asked question of a tax preparer. This year your tax preparer may not be able to give you an answer. The IRS is not producing a 2013 IRS e-file refund cycle chart for tax preparers to answer the question. The commonly used chart has been discontinued and Publication 2043 has been dramatically revised due to IRS uncertainty about issuing refunds. The IRS states “In a change from previous filing seasons, taxpayers won’t get an estimated refund date right away.” From a customer service standpoint, this presents a problem in managing your clients expectations. The IRS states that “most taxpayers will have their refunds within 23 days”, a significant delay from recent years.</w:t>
      </w:r>
      <w:r w:rsidRPr="00571999">
        <w:rPr>
          <w:rFonts w:ascii="Arial" w:hAnsi="Arial" w:cs="Arial"/>
          <w:sz w:val="20"/>
          <w:szCs w:val="20"/>
        </w:rPr>
        <w:br/>
      </w:r>
      <w:r w:rsidRPr="00571999">
        <w:rPr>
          <w:rFonts w:ascii="Arial" w:hAnsi="Arial" w:cs="Arial"/>
          <w:sz w:val="20"/>
          <w:szCs w:val="20"/>
        </w:rPr>
        <w:br/>
        <w:t>The delay in issuing refunds is due to a new processing method with an emphasis on fraud. The IRS’s new processing method includes multiple fraud checks based on the information in your tax return. Tax returns will be analyzed for what the IRS calls “Incoming transactions” and placed in a different category for funding. The IRS has not stated what denotes an incoming transaction but it could be anything from a change in dependents to a change in address. “The IRS has fraud filters built into their new system and they don’t truly know what category the tax returns will fall into based on the filters in place at the time of review and how many returns are going to be delayed. Those filters could change throughout the tax season” says Joseph Mahaffey, CPA. “The IRS’s priority has shifted from getting you your refund quickly to fraud prevention and identity theft.”</w:t>
      </w:r>
    </w:p>
    <w:sectPr w:rsidR="00571999" w:rsidSect="00021655">
      <w:type w:val="continuous"/>
      <w:pgSz w:w="12240" w:h="15840" w:code="1"/>
      <w:pgMar w:top="1080" w:right="810" w:bottom="720" w:left="1296" w:header="720" w:footer="720" w:gutter="0"/>
      <w:pgBorders w:offsetFrom="page">
        <w:top w:val="single" w:sz="48" w:space="24" w:color="000080"/>
        <w:left w:val="single" w:sz="48" w:space="24" w:color="000080"/>
        <w:bottom w:val="single" w:sz="48" w:space="24" w:color="000080"/>
        <w:right w:val="single" w:sz="48" w:space="24" w:color="000080"/>
      </w:pgBorders>
      <w:cols w:num="2"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B1B" w:rsidRDefault="00F32B1B" w:rsidP="00E67549">
      <w:pPr>
        <w:spacing w:after="0" w:line="240" w:lineRule="auto"/>
      </w:pPr>
      <w:r>
        <w:separator/>
      </w:r>
    </w:p>
  </w:endnote>
  <w:endnote w:type="continuationSeparator" w:id="0">
    <w:p w:rsidR="00F32B1B" w:rsidRDefault="00F32B1B" w:rsidP="00E67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B1B" w:rsidRDefault="00F32B1B" w:rsidP="00E67549">
      <w:pPr>
        <w:spacing w:after="0" w:line="240" w:lineRule="auto"/>
      </w:pPr>
      <w:r>
        <w:separator/>
      </w:r>
    </w:p>
  </w:footnote>
  <w:footnote w:type="continuationSeparator" w:id="0">
    <w:p w:rsidR="00F32B1B" w:rsidRDefault="00F32B1B" w:rsidP="00E675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visibility:visible;mso-wrap-style:square" o:bullet="t">
        <v:imagedata r:id="rId1" o:title="MC910217033[1]"/>
      </v:shape>
    </w:pict>
  </w:numPicBullet>
  <w:abstractNum w:abstractNumId="0">
    <w:nsid w:val="07C40AB2"/>
    <w:multiLevelType w:val="hybridMultilevel"/>
    <w:tmpl w:val="4A78553C"/>
    <w:lvl w:ilvl="0" w:tplc="2E3C3F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2C3A19"/>
    <w:multiLevelType w:val="hybridMultilevel"/>
    <w:tmpl w:val="3528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D7B65"/>
    <w:multiLevelType w:val="hybridMultilevel"/>
    <w:tmpl w:val="CF3E3D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0923DC"/>
    <w:multiLevelType w:val="hybridMultilevel"/>
    <w:tmpl w:val="EF30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9759B"/>
    <w:multiLevelType w:val="hybridMultilevel"/>
    <w:tmpl w:val="31F0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4D145B"/>
    <w:multiLevelType w:val="hybridMultilevel"/>
    <w:tmpl w:val="2796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84889"/>
    <w:multiLevelType w:val="hybridMultilevel"/>
    <w:tmpl w:val="059A4B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4381D"/>
    <w:multiLevelType w:val="hybridMultilevel"/>
    <w:tmpl w:val="EF7C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2D09EE"/>
    <w:multiLevelType w:val="hybridMultilevel"/>
    <w:tmpl w:val="434AD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7F19A5"/>
    <w:multiLevelType w:val="hybridMultilevel"/>
    <w:tmpl w:val="274E5B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678AC"/>
    <w:multiLevelType w:val="hybridMultilevel"/>
    <w:tmpl w:val="69D0B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75180"/>
    <w:multiLevelType w:val="hybridMultilevel"/>
    <w:tmpl w:val="36607B16"/>
    <w:lvl w:ilvl="0" w:tplc="A30C77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9247810"/>
    <w:multiLevelType w:val="hybridMultilevel"/>
    <w:tmpl w:val="9474C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3371BA"/>
    <w:multiLevelType w:val="hybridMultilevel"/>
    <w:tmpl w:val="9474B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D8219E"/>
    <w:multiLevelType w:val="hybridMultilevel"/>
    <w:tmpl w:val="A6F0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9C44B8"/>
    <w:multiLevelType w:val="hybridMultilevel"/>
    <w:tmpl w:val="F5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B0642F"/>
    <w:multiLevelType w:val="multilevel"/>
    <w:tmpl w:val="B6FC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144636"/>
    <w:multiLevelType w:val="hybridMultilevel"/>
    <w:tmpl w:val="AF86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6C26C3"/>
    <w:multiLevelType w:val="hybridMultilevel"/>
    <w:tmpl w:val="7FE4E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050727"/>
    <w:multiLevelType w:val="hybridMultilevel"/>
    <w:tmpl w:val="09766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AB11F7A"/>
    <w:multiLevelType w:val="hybridMultilevel"/>
    <w:tmpl w:val="9438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C35DD1"/>
    <w:multiLevelType w:val="hybridMultilevel"/>
    <w:tmpl w:val="BA4EB7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500622"/>
    <w:multiLevelType w:val="multilevel"/>
    <w:tmpl w:val="F28A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2A5E8C"/>
    <w:multiLevelType w:val="hybridMultilevel"/>
    <w:tmpl w:val="CD166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486B29"/>
    <w:multiLevelType w:val="hybridMultilevel"/>
    <w:tmpl w:val="8D207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F8680B"/>
    <w:multiLevelType w:val="hybridMultilevel"/>
    <w:tmpl w:val="FE5C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D17CDB"/>
    <w:multiLevelType w:val="hybridMultilevel"/>
    <w:tmpl w:val="07A0E49E"/>
    <w:lvl w:ilvl="0" w:tplc="242AB0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73F60B2"/>
    <w:multiLevelType w:val="hybridMultilevel"/>
    <w:tmpl w:val="90021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FE4A4F"/>
    <w:multiLevelType w:val="hybridMultilevel"/>
    <w:tmpl w:val="B5DE7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B6536A"/>
    <w:multiLevelType w:val="hybridMultilevel"/>
    <w:tmpl w:val="7AD26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5E03F7"/>
    <w:multiLevelType w:val="hybridMultilevel"/>
    <w:tmpl w:val="A7167D22"/>
    <w:lvl w:ilvl="0" w:tplc="070CD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7AD151F"/>
    <w:multiLevelType w:val="hybridMultilevel"/>
    <w:tmpl w:val="0706E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2807F0"/>
    <w:multiLevelType w:val="hybridMultilevel"/>
    <w:tmpl w:val="5D3A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B6178D"/>
    <w:multiLevelType w:val="hybridMultilevel"/>
    <w:tmpl w:val="45D8F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0B2762"/>
    <w:multiLevelType w:val="hybridMultilevel"/>
    <w:tmpl w:val="4F247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A95091E"/>
    <w:multiLevelType w:val="hybridMultilevel"/>
    <w:tmpl w:val="F70E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6"/>
  </w:num>
  <w:num w:numId="4">
    <w:abstractNumId w:val="10"/>
  </w:num>
  <w:num w:numId="5">
    <w:abstractNumId w:val="27"/>
  </w:num>
  <w:num w:numId="6">
    <w:abstractNumId w:val="31"/>
  </w:num>
  <w:num w:numId="7">
    <w:abstractNumId w:val="5"/>
  </w:num>
  <w:num w:numId="8">
    <w:abstractNumId w:val="25"/>
  </w:num>
  <w:num w:numId="9">
    <w:abstractNumId w:val="20"/>
  </w:num>
  <w:num w:numId="10">
    <w:abstractNumId w:val="14"/>
  </w:num>
  <w:num w:numId="11">
    <w:abstractNumId w:val="21"/>
  </w:num>
  <w:num w:numId="12">
    <w:abstractNumId w:val="6"/>
  </w:num>
  <w:num w:numId="13">
    <w:abstractNumId w:val="24"/>
  </w:num>
  <w:num w:numId="14">
    <w:abstractNumId w:val="19"/>
  </w:num>
  <w:num w:numId="15">
    <w:abstractNumId w:val="28"/>
  </w:num>
  <w:num w:numId="16">
    <w:abstractNumId w:val="17"/>
  </w:num>
  <w:num w:numId="17">
    <w:abstractNumId w:val="2"/>
  </w:num>
  <w:num w:numId="18">
    <w:abstractNumId w:val="30"/>
  </w:num>
  <w:num w:numId="19">
    <w:abstractNumId w:val="13"/>
  </w:num>
  <w:num w:numId="20">
    <w:abstractNumId w:val="29"/>
  </w:num>
  <w:num w:numId="21">
    <w:abstractNumId w:val="15"/>
  </w:num>
  <w:num w:numId="22">
    <w:abstractNumId w:val="16"/>
  </w:num>
  <w:num w:numId="23">
    <w:abstractNumId w:val="22"/>
  </w:num>
  <w:num w:numId="24">
    <w:abstractNumId w:val="7"/>
  </w:num>
  <w:num w:numId="25">
    <w:abstractNumId w:val="12"/>
  </w:num>
  <w:num w:numId="26">
    <w:abstractNumId w:val="23"/>
  </w:num>
  <w:num w:numId="27">
    <w:abstractNumId w:val="18"/>
  </w:num>
  <w:num w:numId="28">
    <w:abstractNumId w:val="35"/>
  </w:num>
  <w:num w:numId="29">
    <w:abstractNumId w:val="9"/>
  </w:num>
  <w:num w:numId="30">
    <w:abstractNumId w:val="34"/>
  </w:num>
  <w:num w:numId="31">
    <w:abstractNumId w:val="33"/>
  </w:num>
  <w:num w:numId="32">
    <w:abstractNumId w:val="4"/>
  </w:num>
  <w:num w:numId="33">
    <w:abstractNumId w:val="1"/>
  </w:num>
  <w:num w:numId="34">
    <w:abstractNumId w:val="32"/>
  </w:num>
  <w:num w:numId="35">
    <w:abstractNumId w:val="8"/>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487"/>
    <w:rsid w:val="00003E24"/>
    <w:rsid w:val="00005050"/>
    <w:rsid w:val="00010291"/>
    <w:rsid w:val="0001498F"/>
    <w:rsid w:val="000158E9"/>
    <w:rsid w:val="00015D30"/>
    <w:rsid w:val="00021655"/>
    <w:rsid w:val="0002235F"/>
    <w:rsid w:val="0002274A"/>
    <w:rsid w:val="000241D8"/>
    <w:rsid w:val="00025306"/>
    <w:rsid w:val="000320FB"/>
    <w:rsid w:val="00042D99"/>
    <w:rsid w:val="00043FC0"/>
    <w:rsid w:val="00047AC4"/>
    <w:rsid w:val="00056BCB"/>
    <w:rsid w:val="000652F6"/>
    <w:rsid w:val="00065A3D"/>
    <w:rsid w:val="00070409"/>
    <w:rsid w:val="00071A06"/>
    <w:rsid w:val="00071A3D"/>
    <w:rsid w:val="00071CA5"/>
    <w:rsid w:val="00073522"/>
    <w:rsid w:val="00074E72"/>
    <w:rsid w:val="00075CA5"/>
    <w:rsid w:val="00076EF8"/>
    <w:rsid w:val="00083547"/>
    <w:rsid w:val="000868D1"/>
    <w:rsid w:val="00087937"/>
    <w:rsid w:val="00091D20"/>
    <w:rsid w:val="00092881"/>
    <w:rsid w:val="00092CB0"/>
    <w:rsid w:val="0009340D"/>
    <w:rsid w:val="00095B74"/>
    <w:rsid w:val="00095ED6"/>
    <w:rsid w:val="000A29AD"/>
    <w:rsid w:val="000A7725"/>
    <w:rsid w:val="000B7F95"/>
    <w:rsid w:val="000C62AC"/>
    <w:rsid w:val="000D03F3"/>
    <w:rsid w:val="000D10F8"/>
    <w:rsid w:val="000D3B13"/>
    <w:rsid w:val="000D4334"/>
    <w:rsid w:val="000E1596"/>
    <w:rsid w:val="000E3DBC"/>
    <w:rsid w:val="000F256F"/>
    <w:rsid w:val="000F4E20"/>
    <w:rsid w:val="000F692A"/>
    <w:rsid w:val="00103865"/>
    <w:rsid w:val="001079DC"/>
    <w:rsid w:val="00110DE5"/>
    <w:rsid w:val="00121FC2"/>
    <w:rsid w:val="00124B8A"/>
    <w:rsid w:val="00125897"/>
    <w:rsid w:val="0013103D"/>
    <w:rsid w:val="001319DC"/>
    <w:rsid w:val="00133510"/>
    <w:rsid w:val="00137218"/>
    <w:rsid w:val="00140D70"/>
    <w:rsid w:val="00146D19"/>
    <w:rsid w:val="00150DE7"/>
    <w:rsid w:val="001556E1"/>
    <w:rsid w:val="001572E9"/>
    <w:rsid w:val="001641EE"/>
    <w:rsid w:val="001656EB"/>
    <w:rsid w:val="00174CF8"/>
    <w:rsid w:val="001758DC"/>
    <w:rsid w:val="0018791B"/>
    <w:rsid w:val="001905E3"/>
    <w:rsid w:val="00192983"/>
    <w:rsid w:val="00193F0C"/>
    <w:rsid w:val="0019590F"/>
    <w:rsid w:val="001A0FF6"/>
    <w:rsid w:val="001A3676"/>
    <w:rsid w:val="001A44A8"/>
    <w:rsid w:val="001B158A"/>
    <w:rsid w:val="001B4247"/>
    <w:rsid w:val="001B7682"/>
    <w:rsid w:val="001C2B7F"/>
    <w:rsid w:val="001C5539"/>
    <w:rsid w:val="001C684E"/>
    <w:rsid w:val="001D15E5"/>
    <w:rsid w:val="001D2552"/>
    <w:rsid w:val="001D36FD"/>
    <w:rsid w:val="001D6573"/>
    <w:rsid w:val="001E1720"/>
    <w:rsid w:val="001E2F66"/>
    <w:rsid w:val="001F034D"/>
    <w:rsid w:val="001F3C11"/>
    <w:rsid w:val="001F5DF9"/>
    <w:rsid w:val="001F6A7C"/>
    <w:rsid w:val="001F71AE"/>
    <w:rsid w:val="00202A92"/>
    <w:rsid w:val="002039D8"/>
    <w:rsid w:val="002051AE"/>
    <w:rsid w:val="00205C3A"/>
    <w:rsid w:val="00213B8F"/>
    <w:rsid w:val="002149BD"/>
    <w:rsid w:val="00220A02"/>
    <w:rsid w:val="00221BF0"/>
    <w:rsid w:val="00223B97"/>
    <w:rsid w:val="002323CA"/>
    <w:rsid w:val="002365A4"/>
    <w:rsid w:val="00236C88"/>
    <w:rsid w:val="00243AD9"/>
    <w:rsid w:val="00243C19"/>
    <w:rsid w:val="00247FEE"/>
    <w:rsid w:val="002575BC"/>
    <w:rsid w:val="00263096"/>
    <w:rsid w:val="002723E3"/>
    <w:rsid w:val="00273871"/>
    <w:rsid w:val="00274DF0"/>
    <w:rsid w:val="00282221"/>
    <w:rsid w:val="00284A22"/>
    <w:rsid w:val="002859CE"/>
    <w:rsid w:val="00290851"/>
    <w:rsid w:val="00295C1A"/>
    <w:rsid w:val="002A1288"/>
    <w:rsid w:val="002A3751"/>
    <w:rsid w:val="002A7ABB"/>
    <w:rsid w:val="002B4828"/>
    <w:rsid w:val="002B654B"/>
    <w:rsid w:val="002C214E"/>
    <w:rsid w:val="002C28B7"/>
    <w:rsid w:val="002C5951"/>
    <w:rsid w:val="002C6BB5"/>
    <w:rsid w:val="002D0EC4"/>
    <w:rsid w:val="002D3D9F"/>
    <w:rsid w:val="002D454F"/>
    <w:rsid w:val="002E4648"/>
    <w:rsid w:val="002E4C36"/>
    <w:rsid w:val="002E6259"/>
    <w:rsid w:val="002E6DCA"/>
    <w:rsid w:val="002E7F09"/>
    <w:rsid w:val="002F3E30"/>
    <w:rsid w:val="00301D58"/>
    <w:rsid w:val="00306FE4"/>
    <w:rsid w:val="0031114A"/>
    <w:rsid w:val="003125B2"/>
    <w:rsid w:val="00314DE5"/>
    <w:rsid w:val="00315ECC"/>
    <w:rsid w:val="00322054"/>
    <w:rsid w:val="003252EE"/>
    <w:rsid w:val="00326A19"/>
    <w:rsid w:val="00327EE1"/>
    <w:rsid w:val="0033546F"/>
    <w:rsid w:val="003379A5"/>
    <w:rsid w:val="00340D04"/>
    <w:rsid w:val="00343B15"/>
    <w:rsid w:val="00346BB8"/>
    <w:rsid w:val="003512E5"/>
    <w:rsid w:val="0035271F"/>
    <w:rsid w:val="003546C1"/>
    <w:rsid w:val="003548DD"/>
    <w:rsid w:val="00361218"/>
    <w:rsid w:val="00361434"/>
    <w:rsid w:val="00366E09"/>
    <w:rsid w:val="00371BE4"/>
    <w:rsid w:val="00383A0A"/>
    <w:rsid w:val="00384B43"/>
    <w:rsid w:val="0039095A"/>
    <w:rsid w:val="00392F93"/>
    <w:rsid w:val="00396875"/>
    <w:rsid w:val="003A12F3"/>
    <w:rsid w:val="003A394D"/>
    <w:rsid w:val="003A3B57"/>
    <w:rsid w:val="003B240F"/>
    <w:rsid w:val="003B6557"/>
    <w:rsid w:val="003D0329"/>
    <w:rsid w:val="003D2017"/>
    <w:rsid w:val="003D2B77"/>
    <w:rsid w:val="003E0062"/>
    <w:rsid w:val="003E05E9"/>
    <w:rsid w:val="003E5556"/>
    <w:rsid w:val="003F24B3"/>
    <w:rsid w:val="003F4143"/>
    <w:rsid w:val="003F43B9"/>
    <w:rsid w:val="003F679E"/>
    <w:rsid w:val="003F6A8E"/>
    <w:rsid w:val="003F707D"/>
    <w:rsid w:val="00401101"/>
    <w:rsid w:val="00426211"/>
    <w:rsid w:val="004318D8"/>
    <w:rsid w:val="00432548"/>
    <w:rsid w:val="0043580A"/>
    <w:rsid w:val="004438A2"/>
    <w:rsid w:val="0044678B"/>
    <w:rsid w:val="00447439"/>
    <w:rsid w:val="00451BF6"/>
    <w:rsid w:val="00453F13"/>
    <w:rsid w:val="004563DE"/>
    <w:rsid w:val="00461348"/>
    <w:rsid w:val="00461F94"/>
    <w:rsid w:val="00465E1F"/>
    <w:rsid w:val="00473B94"/>
    <w:rsid w:val="004751CB"/>
    <w:rsid w:val="004801D4"/>
    <w:rsid w:val="00480423"/>
    <w:rsid w:val="00480A70"/>
    <w:rsid w:val="0048115D"/>
    <w:rsid w:val="00483CFD"/>
    <w:rsid w:val="004846DC"/>
    <w:rsid w:val="00484806"/>
    <w:rsid w:val="004912D6"/>
    <w:rsid w:val="0049473A"/>
    <w:rsid w:val="004B03AC"/>
    <w:rsid w:val="004B588D"/>
    <w:rsid w:val="004D2EE2"/>
    <w:rsid w:val="004E0377"/>
    <w:rsid w:val="004E57CB"/>
    <w:rsid w:val="004E6375"/>
    <w:rsid w:val="004F53E0"/>
    <w:rsid w:val="004F5487"/>
    <w:rsid w:val="004F6240"/>
    <w:rsid w:val="00500E14"/>
    <w:rsid w:val="005057E8"/>
    <w:rsid w:val="0051050E"/>
    <w:rsid w:val="00512F74"/>
    <w:rsid w:val="0051427A"/>
    <w:rsid w:val="005261B6"/>
    <w:rsid w:val="00534233"/>
    <w:rsid w:val="005367CC"/>
    <w:rsid w:val="00537563"/>
    <w:rsid w:val="00542B74"/>
    <w:rsid w:val="00543C32"/>
    <w:rsid w:val="00545134"/>
    <w:rsid w:val="00545223"/>
    <w:rsid w:val="00545EDE"/>
    <w:rsid w:val="00551B7D"/>
    <w:rsid w:val="00554A76"/>
    <w:rsid w:val="00571999"/>
    <w:rsid w:val="00571CF9"/>
    <w:rsid w:val="00574BF3"/>
    <w:rsid w:val="0058636D"/>
    <w:rsid w:val="005920F4"/>
    <w:rsid w:val="005947FA"/>
    <w:rsid w:val="005A0E91"/>
    <w:rsid w:val="005B754B"/>
    <w:rsid w:val="005D1A96"/>
    <w:rsid w:val="005D2BA3"/>
    <w:rsid w:val="005D30DD"/>
    <w:rsid w:val="005D5541"/>
    <w:rsid w:val="005D70D4"/>
    <w:rsid w:val="005E025B"/>
    <w:rsid w:val="005E4802"/>
    <w:rsid w:val="005E4841"/>
    <w:rsid w:val="005F4B66"/>
    <w:rsid w:val="00611204"/>
    <w:rsid w:val="006130A4"/>
    <w:rsid w:val="00615CE0"/>
    <w:rsid w:val="006161CA"/>
    <w:rsid w:val="006219DE"/>
    <w:rsid w:val="00625921"/>
    <w:rsid w:val="00630EEB"/>
    <w:rsid w:val="00631368"/>
    <w:rsid w:val="00631CE9"/>
    <w:rsid w:val="006343DE"/>
    <w:rsid w:val="00637353"/>
    <w:rsid w:val="006439C2"/>
    <w:rsid w:val="0065042F"/>
    <w:rsid w:val="00652960"/>
    <w:rsid w:val="0065420E"/>
    <w:rsid w:val="00655AB4"/>
    <w:rsid w:val="006573BB"/>
    <w:rsid w:val="00667708"/>
    <w:rsid w:val="006721CD"/>
    <w:rsid w:val="006746DB"/>
    <w:rsid w:val="006749D0"/>
    <w:rsid w:val="00677034"/>
    <w:rsid w:val="0068207E"/>
    <w:rsid w:val="006827C5"/>
    <w:rsid w:val="00685246"/>
    <w:rsid w:val="006911F2"/>
    <w:rsid w:val="00693F4C"/>
    <w:rsid w:val="00695D36"/>
    <w:rsid w:val="00695E5D"/>
    <w:rsid w:val="006A03D6"/>
    <w:rsid w:val="006A415E"/>
    <w:rsid w:val="006A5239"/>
    <w:rsid w:val="006B35B6"/>
    <w:rsid w:val="006B7D22"/>
    <w:rsid w:val="006C483A"/>
    <w:rsid w:val="006D0314"/>
    <w:rsid w:val="006D10A7"/>
    <w:rsid w:val="006D3129"/>
    <w:rsid w:val="006D5BF0"/>
    <w:rsid w:val="006D7079"/>
    <w:rsid w:val="006D7C29"/>
    <w:rsid w:val="006E6FA6"/>
    <w:rsid w:val="006F41CC"/>
    <w:rsid w:val="00700F21"/>
    <w:rsid w:val="0070205E"/>
    <w:rsid w:val="0070444F"/>
    <w:rsid w:val="00711E9E"/>
    <w:rsid w:val="007167C2"/>
    <w:rsid w:val="007173C0"/>
    <w:rsid w:val="00720C8B"/>
    <w:rsid w:val="00721B31"/>
    <w:rsid w:val="00731EC7"/>
    <w:rsid w:val="0073361F"/>
    <w:rsid w:val="00733B56"/>
    <w:rsid w:val="00733BC5"/>
    <w:rsid w:val="00736378"/>
    <w:rsid w:val="00736A34"/>
    <w:rsid w:val="0073719B"/>
    <w:rsid w:val="00743309"/>
    <w:rsid w:val="00750C06"/>
    <w:rsid w:val="007528BE"/>
    <w:rsid w:val="007533D1"/>
    <w:rsid w:val="00753B8D"/>
    <w:rsid w:val="00753BC9"/>
    <w:rsid w:val="00761090"/>
    <w:rsid w:val="00762984"/>
    <w:rsid w:val="00765092"/>
    <w:rsid w:val="0076616C"/>
    <w:rsid w:val="00766F6A"/>
    <w:rsid w:val="00775DD6"/>
    <w:rsid w:val="007801A9"/>
    <w:rsid w:val="0078694F"/>
    <w:rsid w:val="00790B0A"/>
    <w:rsid w:val="00791AC2"/>
    <w:rsid w:val="00794983"/>
    <w:rsid w:val="00796DFB"/>
    <w:rsid w:val="007A06B7"/>
    <w:rsid w:val="007A0FD5"/>
    <w:rsid w:val="007A516E"/>
    <w:rsid w:val="007B1CF3"/>
    <w:rsid w:val="007B2418"/>
    <w:rsid w:val="007B309E"/>
    <w:rsid w:val="007B3DE5"/>
    <w:rsid w:val="007C3AEA"/>
    <w:rsid w:val="007C7325"/>
    <w:rsid w:val="007C7C8D"/>
    <w:rsid w:val="007D463C"/>
    <w:rsid w:val="007D50EB"/>
    <w:rsid w:val="007E2540"/>
    <w:rsid w:val="007E2631"/>
    <w:rsid w:val="007E2F76"/>
    <w:rsid w:val="007E3330"/>
    <w:rsid w:val="007E59A8"/>
    <w:rsid w:val="007F0929"/>
    <w:rsid w:val="007F28D2"/>
    <w:rsid w:val="008104BE"/>
    <w:rsid w:val="00814372"/>
    <w:rsid w:val="008275EA"/>
    <w:rsid w:val="008319B2"/>
    <w:rsid w:val="00841182"/>
    <w:rsid w:val="0085036D"/>
    <w:rsid w:val="008520C5"/>
    <w:rsid w:val="008536FE"/>
    <w:rsid w:val="00856C1A"/>
    <w:rsid w:val="0085704C"/>
    <w:rsid w:val="008574D4"/>
    <w:rsid w:val="00860EDF"/>
    <w:rsid w:val="00861DBE"/>
    <w:rsid w:val="0086390A"/>
    <w:rsid w:val="00864B66"/>
    <w:rsid w:val="00873F42"/>
    <w:rsid w:val="0087575B"/>
    <w:rsid w:val="00882C10"/>
    <w:rsid w:val="00883D85"/>
    <w:rsid w:val="00884B82"/>
    <w:rsid w:val="0089067A"/>
    <w:rsid w:val="008955C7"/>
    <w:rsid w:val="008969D8"/>
    <w:rsid w:val="008A0CC1"/>
    <w:rsid w:val="008A27E4"/>
    <w:rsid w:val="008A4AAF"/>
    <w:rsid w:val="008B24CE"/>
    <w:rsid w:val="008B5ACA"/>
    <w:rsid w:val="008C16FF"/>
    <w:rsid w:val="008C7BD7"/>
    <w:rsid w:val="008D4DD0"/>
    <w:rsid w:val="008D65CA"/>
    <w:rsid w:val="008E0F16"/>
    <w:rsid w:val="008E58DD"/>
    <w:rsid w:val="008E62A0"/>
    <w:rsid w:val="008E6BD1"/>
    <w:rsid w:val="008F1A05"/>
    <w:rsid w:val="00912F4E"/>
    <w:rsid w:val="00915319"/>
    <w:rsid w:val="00927AA5"/>
    <w:rsid w:val="009330C9"/>
    <w:rsid w:val="009339CE"/>
    <w:rsid w:val="00940D0E"/>
    <w:rsid w:val="00944F97"/>
    <w:rsid w:val="00945728"/>
    <w:rsid w:val="00951DC8"/>
    <w:rsid w:val="00953981"/>
    <w:rsid w:val="009546B8"/>
    <w:rsid w:val="00955E47"/>
    <w:rsid w:val="00957BB3"/>
    <w:rsid w:val="00963C91"/>
    <w:rsid w:val="00966F88"/>
    <w:rsid w:val="00967C1D"/>
    <w:rsid w:val="00971F51"/>
    <w:rsid w:val="00976D8C"/>
    <w:rsid w:val="0098396E"/>
    <w:rsid w:val="00986AEB"/>
    <w:rsid w:val="00990CD9"/>
    <w:rsid w:val="00993D32"/>
    <w:rsid w:val="00996BBF"/>
    <w:rsid w:val="009A041C"/>
    <w:rsid w:val="009A3876"/>
    <w:rsid w:val="009A4C66"/>
    <w:rsid w:val="009A62AC"/>
    <w:rsid w:val="009A73A6"/>
    <w:rsid w:val="009B4690"/>
    <w:rsid w:val="009D799D"/>
    <w:rsid w:val="009E1B84"/>
    <w:rsid w:val="009E25A6"/>
    <w:rsid w:val="009E2843"/>
    <w:rsid w:val="009E4D5A"/>
    <w:rsid w:val="009E526B"/>
    <w:rsid w:val="009E6156"/>
    <w:rsid w:val="009E7484"/>
    <w:rsid w:val="009F04E2"/>
    <w:rsid w:val="009F580B"/>
    <w:rsid w:val="00A11592"/>
    <w:rsid w:val="00A1381D"/>
    <w:rsid w:val="00A15490"/>
    <w:rsid w:val="00A15FDD"/>
    <w:rsid w:val="00A2008F"/>
    <w:rsid w:val="00A21CDA"/>
    <w:rsid w:val="00A2276D"/>
    <w:rsid w:val="00A249B1"/>
    <w:rsid w:val="00A269F2"/>
    <w:rsid w:val="00A27BA2"/>
    <w:rsid w:val="00A40388"/>
    <w:rsid w:val="00A417CD"/>
    <w:rsid w:val="00A54703"/>
    <w:rsid w:val="00A70530"/>
    <w:rsid w:val="00A7132C"/>
    <w:rsid w:val="00A73AE7"/>
    <w:rsid w:val="00A74BE0"/>
    <w:rsid w:val="00A83CAF"/>
    <w:rsid w:val="00A859D2"/>
    <w:rsid w:val="00A91BE0"/>
    <w:rsid w:val="00A93CEC"/>
    <w:rsid w:val="00A97782"/>
    <w:rsid w:val="00AA18E4"/>
    <w:rsid w:val="00AA3822"/>
    <w:rsid w:val="00AA3A70"/>
    <w:rsid w:val="00AA45E7"/>
    <w:rsid w:val="00AA5429"/>
    <w:rsid w:val="00AA5B8B"/>
    <w:rsid w:val="00AA5CB2"/>
    <w:rsid w:val="00AA66D8"/>
    <w:rsid w:val="00AA7563"/>
    <w:rsid w:val="00AB048C"/>
    <w:rsid w:val="00AB0F1B"/>
    <w:rsid w:val="00AC4353"/>
    <w:rsid w:val="00AC5C62"/>
    <w:rsid w:val="00AC7050"/>
    <w:rsid w:val="00AD1480"/>
    <w:rsid w:val="00AD2287"/>
    <w:rsid w:val="00AE0B66"/>
    <w:rsid w:val="00AE4518"/>
    <w:rsid w:val="00AE716E"/>
    <w:rsid w:val="00AF034E"/>
    <w:rsid w:val="00AF3F5E"/>
    <w:rsid w:val="00AF44BB"/>
    <w:rsid w:val="00AF510F"/>
    <w:rsid w:val="00B025A6"/>
    <w:rsid w:val="00B1012D"/>
    <w:rsid w:val="00B116F4"/>
    <w:rsid w:val="00B1171D"/>
    <w:rsid w:val="00B216F8"/>
    <w:rsid w:val="00B2274E"/>
    <w:rsid w:val="00B25B3D"/>
    <w:rsid w:val="00B270F2"/>
    <w:rsid w:val="00B306D9"/>
    <w:rsid w:val="00B33D6B"/>
    <w:rsid w:val="00B3543F"/>
    <w:rsid w:val="00B37CE0"/>
    <w:rsid w:val="00B4337E"/>
    <w:rsid w:val="00B4727B"/>
    <w:rsid w:val="00B50F96"/>
    <w:rsid w:val="00B51043"/>
    <w:rsid w:val="00B51F78"/>
    <w:rsid w:val="00B55898"/>
    <w:rsid w:val="00B558BA"/>
    <w:rsid w:val="00B77652"/>
    <w:rsid w:val="00B836C2"/>
    <w:rsid w:val="00BA2399"/>
    <w:rsid w:val="00BA7DAF"/>
    <w:rsid w:val="00BB0687"/>
    <w:rsid w:val="00BB1581"/>
    <w:rsid w:val="00BC0587"/>
    <w:rsid w:val="00BD29ED"/>
    <w:rsid w:val="00BD578B"/>
    <w:rsid w:val="00BD61A2"/>
    <w:rsid w:val="00BD768C"/>
    <w:rsid w:val="00BD7D8D"/>
    <w:rsid w:val="00BE0023"/>
    <w:rsid w:val="00BE0093"/>
    <w:rsid w:val="00BE0341"/>
    <w:rsid w:val="00BE2244"/>
    <w:rsid w:val="00BE4CE9"/>
    <w:rsid w:val="00BE52EA"/>
    <w:rsid w:val="00BE7BB2"/>
    <w:rsid w:val="00BF531A"/>
    <w:rsid w:val="00BF5769"/>
    <w:rsid w:val="00BF5CE7"/>
    <w:rsid w:val="00BF7490"/>
    <w:rsid w:val="00BF7E83"/>
    <w:rsid w:val="00C0194F"/>
    <w:rsid w:val="00C06241"/>
    <w:rsid w:val="00C2236D"/>
    <w:rsid w:val="00C25D5D"/>
    <w:rsid w:val="00C264D1"/>
    <w:rsid w:val="00C26BF4"/>
    <w:rsid w:val="00C30268"/>
    <w:rsid w:val="00C35A83"/>
    <w:rsid w:val="00C366E6"/>
    <w:rsid w:val="00C37454"/>
    <w:rsid w:val="00C4013E"/>
    <w:rsid w:val="00C46049"/>
    <w:rsid w:val="00C53291"/>
    <w:rsid w:val="00C548F2"/>
    <w:rsid w:val="00C56DBE"/>
    <w:rsid w:val="00C61184"/>
    <w:rsid w:val="00C63A33"/>
    <w:rsid w:val="00C63AEF"/>
    <w:rsid w:val="00C63E65"/>
    <w:rsid w:val="00C64D69"/>
    <w:rsid w:val="00C65384"/>
    <w:rsid w:val="00C65513"/>
    <w:rsid w:val="00C70255"/>
    <w:rsid w:val="00C71261"/>
    <w:rsid w:val="00C7335C"/>
    <w:rsid w:val="00C7536A"/>
    <w:rsid w:val="00C7588C"/>
    <w:rsid w:val="00C777BD"/>
    <w:rsid w:val="00C87394"/>
    <w:rsid w:val="00C87B8D"/>
    <w:rsid w:val="00C9103A"/>
    <w:rsid w:val="00C928AA"/>
    <w:rsid w:val="00C9487D"/>
    <w:rsid w:val="00C94B94"/>
    <w:rsid w:val="00CA0832"/>
    <w:rsid w:val="00CA238F"/>
    <w:rsid w:val="00CA3AFA"/>
    <w:rsid w:val="00CA50EE"/>
    <w:rsid w:val="00CA75B4"/>
    <w:rsid w:val="00CB0E0C"/>
    <w:rsid w:val="00CB2EDB"/>
    <w:rsid w:val="00CB35D8"/>
    <w:rsid w:val="00CB3AE4"/>
    <w:rsid w:val="00CC0201"/>
    <w:rsid w:val="00CD0134"/>
    <w:rsid w:val="00CD03E2"/>
    <w:rsid w:val="00CD64A2"/>
    <w:rsid w:val="00CE1112"/>
    <w:rsid w:val="00CE7A94"/>
    <w:rsid w:val="00CF5F57"/>
    <w:rsid w:val="00CF732E"/>
    <w:rsid w:val="00D02894"/>
    <w:rsid w:val="00D168E1"/>
    <w:rsid w:val="00D3054E"/>
    <w:rsid w:val="00D3354C"/>
    <w:rsid w:val="00D33D40"/>
    <w:rsid w:val="00D376F5"/>
    <w:rsid w:val="00D507A4"/>
    <w:rsid w:val="00D52D92"/>
    <w:rsid w:val="00D56578"/>
    <w:rsid w:val="00D568CC"/>
    <w:rsid w:val="00D57812"/>
    <w:rsid w:val="00D67EE4"/>
    <w:rsid w:val="00D71927"/>
    <w:rsid w:val="00D757D2"/>
    <w:rsid w:val="00D75CAB"/>
    <w:rsid w:val="00D77192"/>
    <w:rsid w:val="00D836F9"/>
    <w:rsid w:val="00D849AC"/>
    <w:rsid w:val="00D86FFF"/>
    <w:rsid w:val="00DA0FCC"/>
    <w:rsid w:val="00DA358F"/>
    <w:rsid w:val="00DA4830"/>
    <w:rsid w:val="00DB5EDD"/>
    <w:rsid w:val="00DC334D"/>
    <w:rsid w:val="00DC513B"/>
    <w:rsid w:val="00DC6E8E"/>
    <w:rsid w:val="00DC7F39"/>
    <w:rsid w:val="00DD082E"/>
    <w:rsid w:val="00DE3F3F"/>
    <w:rsid w:val="00DF2807"/>
    <w:rsid w:val="00DF61C9"/>
    <w:rsid w:val="00E0131E"/>
    <w:rsid w:val="00E02C73"/>
    <w:rsid w:val="00E034AB"/>
    <w:rsid w:val="00E06095"/>
    <w:rsid w:val="00E066FB"/>
    <w:rsid w:val="00E125CF"/>
    <w:rsid w:val="00E14700"/>
    <w:rsid w:val="00E14E88"/>
    <w:rsid w:val="00E16A0B"/>
    <w:rsid w:val="00E27847"/>
    <w:rsid w:val="00E306BE"/>
    <w:rsid w:val="00E340E5"/>
    <w:rsid w:val="00E44DB3"/>
    <w:rsid w:val="00E450A4"/>
    <w:rsid w:val="00E452A5"/>
    <w:rsid w:val="00E45E58"/>
    <w:rsid w:val="00E46920"/>
    <w:rsid w:val="00E47071"/>
    <w:rsid w:val="00E511BD"/>
    <w:rsid w:val="00E513A6"/>
    <w:rsid w:val="00E52336"/>
    <w:rsid w:val="00E556F8"/>
    <w:rsid w:val="00E562DB"/>
    <w:rsid w:val="00E61560"/>
    <w:rsid w:val="00E66077"/>
    <w:rsid w:val="00E67549"/>
    <w:rsid w:val="00E72E25"/>
    <w:rsid w:val="00E772E6"/>
    <w:rsid w:val="00E809AA"/>
    <w:rsid w:val="00E81196"/>
    <w:rsid w:val="00E85121"/>
    <w:rsid w:val="00E95161"/>
    <w:rsid w:val="00E95A24"/>
    <w:rsid w:val="00EA5AF4"/>
    <w:rsid w:val="00EA5F48"/>
    <w:rsid w:val="00EB3133"/>
    <w:rsid w:val="00EB59FE"/>
    <w:rsid w:val="00EC060B"/>
    <w:rsid w:val="00EC210D"/>
    <w:rsid w:val="00EC3044"/>
    <w:rsid w:val="00EC724C"/>
    <w:rsid w:val="00EC7D26"/>
    <w:rsid w:val="00ED52A1"/>
    <w:rsid w:val="00EE189D"/>
    <w:rsid w:val="00EE34D2"/>
    <w:rsid w:val="00EF13FF"/>
    <w:rsid w:val="00EF6C19"/>
    <w:rsid w:val="00F01FBB"/>
    <w:rsid w:val="00F126E6"/>
    <w:rsid w:val="00F13A5B"/>
    <w:rsid w:val="00F171A9"/>
    <w:rsid w:val="00F32B1B"/>
    <w:rsid w:val="00F42BC3"/>
    <w:rsid w:val="00F57766"/>
    <w:rsid w:val="00F66CDA"/>
    <w:rsid w:val="00F703D0"/>
    <w:rsid w:val="00F714F7"/>
    <w:rsid w:val="00F72F45"/>
    <w:rsid w:val="00F7357C"/>
    <w:rsid w:val="00F77E99"/>
    <w:rsid w:val="00F77F2B"/>
    <w:rsid w:val="00F90321"/>
    <w:rsid w:val="00F9035E"/>
    <w:rsid w:val="00F97601"/>
    <w:rsid w:val="00FA0F2B"/>
    <w:rsid w:val="00FA29D9"/>
    <w:rsid w:val="00FA3A46"/>
    <w:rsid w:val="00FB49B5"/>
    <w:rsid w:val="00FC09E2"/>
    <w:rsid w:val="00FD04A6"/>
    <w:rsid w:val="00FD2EC8"/>
    <w:rsid w:val="00FD303F"/>
    <w:rsid w:val="00FD40E9"/>
    <w:rsid w:val="00FD6D41"/>
    <w:rsid w:val="00FE4D70"/>
    <w:rsid w:val="00FF3766"/>
    <w:rsid w:val="00FF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4A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rofessional">
    <w:name w:val="Title - Professional"/>
    <w:basedOn w:val="Normal"/>
    <w:rsid w:val="004F5487"/>
    <w:pPr>
      <w:pBdr>
        <w:top w:val="single" w:sz="36" w:space="1" w:color="000080"/>
        <w:left w:val="single" w:sz="6" w:space="4" w:color="000080"/>
        <w:bottom w:val="single" w:sz="6" w:space="1" w:color="000080"/>
        <w:right w:val="single" w:sz="6" w:space="4" w:color="000080"/>
      </w:pBdr>
      <w:jc w:val="center"/>
    </w:pPr>
    <w:rPr>
      <w:rFonts w:ascii="Arial Black" w:eastAsia="Times New Roman" w:hAnsi="Arial Black"/>
      <w:color w:val="000080"/>
      <w:sz w:val="144"/>
      <w:lang w:bidi="en-US"/>
    </w:rPr>
  </w:style>
  <w:style w:type="paragraph" w:styleId="BalloonText">
    <w:name w:val="Balloon Text"/>
    <w:basedOn w:val="Normal"/>
    <w:link w:val="BalloonTextChar"/>
    <w:uiPriority w:val="99"/>
    <w:semiHidden/>
    <w:unhideWhenUsed/>
    <w:rsid w:val="004F5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487"/>
    <w:rPr>
      <w:rFonts w:ascii="Tahoma" w:hAnsi="Tahoma" w:cs="Tahoma"/>
      <w:sz w:val="16"/>
      <w:szCs w:val="16"/>
    </w:rPr>
  </w:style>
  <w:style w:type="table" w:styleId="TableGrid">
    <w:name w:val="Table Grid"/>
    <w:basedOn w:val="TableNormal"/>
    <w:uiPriority w:val="59"/>
    <w:rsid w:val="004F54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963C91"/>
    <w:rPr>
      <w:color w:val="0000FF"/>
      <w:u w:val="single"/>
    </w:rPr>
  </w:style>
  <w:style w:type="character" w:styleId="FollowedHyperlink">
    <w:name w:val="FollowedHyperlink"/>
    <w:basedOn w:val="DefaultParagraphFont"/>
    <w:uiPriority w:val="99"/>
    <w:semiHidden/>
    <w:unhideWhenUsed/>
    <w:rsid w:val="00B33D6B"/>
    <w:rPr>
      <w:color w:val="800080"/>
      <w:u w:val="single"/>
    </w:rPr>
  </w:style>
  <w:style w:type="paragraph" w:styleId="DocumentMap">
    <w:name w:val="Document Map"/>
    <w:basedOn w:val="Normal"/>
    <w:link w:val="DocumentMapChar"/>
    <w:uiPriority w:val="99"/>
    <w:semiHidden/>
    <w:unhideWhenUsed/>
    <w:rsid w:val="00631CE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31CE9"/>
    <w:rPr>
      <w:rFonts w:ascii="Tahoma" w:hAnsi="Tahoma" w:cs="Tahoma"/>
      <w:sz w:val="16"/>
      <w:szCs w:val="16"/>
    </w:rPr>
  </w:style>
  <w:style w:type="paragraph" w:styleId="Header">
    <w:name w:val="header"/>
    <w:basedOn w:val="Normal"/>
    <w:link w:val="HeaderChar"/>
    <w:uiPriority w:val="99"/>
    <w:unhideWhenUsed/>
    <w:rsid w:val="00E67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549"/>
    <w:rPr>
      <w:sz w:val="22"/>
      <w:szCs w:val="22"/>
    </w:rPr>
  </w:style>
  <w:style w:type="paragraph" w:styleId="Footer">
    <w:name w:val="footer"/>
    <w:basedOn w:val="Normal"/>
    <w:link w:val="FooterChar"/>
    <w:uiPriority w:val="99"/>
    <w:unhideWhenUsed/>
    <w:rsid w:val="00E67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549"/>
    <w:rPr>
      <w:sz w:val="22"/>
      <w:szCs w:val="22"/>
    </w:rPr>
  </w:style>
  <w:style w:type="paragraph" w:styleId="BodyText">
    <w:name w:val="Body Text"/>
    <w:basedOn w:val="Normal"/>
    <w:link w:val="BodyTextChar"/>
    <w:semiHidden/>
    <w:rsid w:val="00884B82"/>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884B82"/>
    <w:rPr>
      <w:rFonts w:ascii="Times New Roman" w:eastAsia="Times New Roman" w:hAnsi="Times New Roman"/>
      <w:sz w:val="24"/>
    </w:rPr>
  </w:style>
  <w:style w:type="paragraph" w:styleId="NormalWeb">
    <w:name w:val="Normal (Web)"/>
    <w:basedOn w:val="Normal"/>
    <w:uiPriority w:val="99"/>
    <w:unhideWhenUsed/>
    <w:rsid w:val="00CA75B4"/>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CA75B4"/>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9E7484"/>
    <w:rPr>
      <w:b/>
      <w:bCs/>
    </w:rPr>
  </w:style>
  <w:style w:type="paragraph" w:styleId="ListParagraph">
    <w:name w:val="List Paragraph"/>
    <w:basedOn w:val="Normal"/>
    <w:uiPriority w:val="34"/>
    <w:qFormat/>
    <w:rsid w:val="007B1CF3"/>
    <w:pPr>
      <w:ind w:left="720"/>
      <w:contextualSpacing/>
    </w:pPr>
  </w:style>
  <w:style w:type="paragraph" w:styleId="NoSpacing">
    <w:name w:val="No Spacing"/>
    <w:uiPriority w:val="1"/>
    <w:qFormat/>
    <w:rsid w:val="008E62A0"/>
    <w:rPr>
      <w:sz w:val="22"/>
      <w:szCs w:val="22"/>
    </w:rPr>
  </w:style>
  <w:style w:type="character" w:styleId="Emphasis">
    <w:name w:val="Emphasis"/>
    <w:basedOn w:val="DefaultParagraphFont"/>
    <w:uiPriority w:val="20"/>
    <w:qFormat/>
    <w:rsid w:val="00B116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4A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rofessional">
    <w:name w:val="Title - Professional"/>
    <w:basedOn w:val="Normal"/>
    <w:rsid w:val="004F5487"/>
    <w:pPr>
      <w:pBdr>
        <w:top w:val="single" w:sz="36" w:space="1" w:color="000080"/>
        <w:left w:val="single" w:sz="6" w:space="4" w:color="000080"/>
        <w:bottom w:val="single" w:sz="6" w:space="1" w:color="000080"/>
        <w:right w:val="single" w:sz="6" w:space="4" w:color="000080"/>
      </w:pBdr>
      <w:jc w:val="center"/>
    </w:pPr>
    <w:rPr>
      <w:rFonts w:ascii="Arial Black" w:eastAsia="Times New Roman" w:hAnsi="Arial Black"/>
      <w:color w:val="000080"/>
      <w:sz w:val="144"/>
      <w:lang w:bidi="en-US"/>
    </w:rPr>
  </w:style>
  <w:style w:type="paragraph" w:styleId="BalloonText">
    <w:name w:val="Balloon Text"/>
    <w:basedOn w:val="Normal"/>
    <w:link w:val="BalloonTextChar"/>
    <w:uiPriority w:val="99"/>
    <w:semiHidden/>
    <w:unhideWhenUsed/>
    <w:rsid w:val="004F5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487"/>
    <w:rPr>
      <w:rFonts w:ascii="Tahoma" w:hAnsi="Tahoma" w:cs="Tahoma"/>
      <w:sz w:val="16"/>
      <w:szCs w:val="16"/>
    </w:rPr>
  </w:style>
  <w:style w:type="table" w:styleId="TableGrid">
    <w:name w:val="Table Grid"/>
    <w:basedOn w:val="TableNormal"/>
    <w:uiPriority w:val="59"/>
    <w:rsid w:val="004F54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963C91"/>
    <w:rPr>
      <w:color w:val="0000FF"/>
      <w:u w:val="single"/>
    </w:rPr>
  </w:style>
  <w:style w:type="character" w:styleId="FollowedHyperlink">
    <w:name w:val="FollowedHyperlink"/>
    <w:basedOn w:val="DefaultParagraphFont"/>
    <w:uiPriority w:val="99"/>
    <w:semiHidden/>
    <w:unhideWhenUsed/>
    <w:rsid w:val="00B33D6B"/>
    <w:rPr>
      <w:color w:val="800080"/>
      <w:u w:val="single"/>
    </w:rPr>
  </w:style>
  <w:style w:type="paragraph" w:styleId="DocumentMap">
    <w:name w:val="Document Map"/>
    <w:basedOn w:val="Normal"/>
    <w:link w:val="DocumentMapChar"/>
    <w:uiPriority w:val="99"/>
    <w:semiHidden/>
    <w:unhideWhenUsed/>
    <w:rsid w:val="00631CE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31CE9"/>
    <w:rPr>
      <w:rFonts w:ascii="Tahoma" w:hAnsi="Tahoma" w:cs="Tahoma"/>
      <w:sz w:val="16"/>
      <w:szCs w:val="16"/>
    </w:rPr>
  </w:style>
  <w:style w:type="paragraph" w:styleId="Header">
    <w:name w:val="header"/>
    <w:basedOn w:val="Normal"/>
    <w:link w:val="HeaderChar"/>
    <w:uiPriority w:val="99"/>
    <w:unhideWhenUsed/>
    <w:rsid w:val="00E67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549"/>
    <w:rPr>
      <w:sz w:val="22"/>
      <w:szCs w:val="22"/>
    </w:rPr>
  </w:style>
  <w:style w:type="paragraph" w:styleId="Footer">
    <w:name w:val="footer"/>
    <w:basedOn w:val="Normal"/>
    <w:link w:val="FooterChar"/>
    <w:uiPriority w:val="99"/>
    <w:unhideWhenUsed/>
    <w:rsid w:val="00E67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549"/>
    <w:rPr>
      <w:sz w:val="22"/>
      <w:szCs w:val="22"/>
    </w:rPr>
  </w:style>
  <w:style w:type="paragraph" w:styleId="BodyText">
    <w:name w:val="Body Text"/>
    <w:basedOn w:val="Normal"/>
    <w:link w:val="BodyTextChar"/>
    <w:semiHidden/>
    <w:rsid w:val="00884B82"/>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884B82"/>
    <w:rPr>
      <w:rFonts w:ascii="Times New Roman" w:eastAsia="Times New Roman" w:hAnsi="Times New Roman"/>
      <w:sz w:val="24"/>
    </w:rPr>
  </w:style>
  <w:style w:type="paragraph" w:styleId="NormalWeb">
    <w:name w:val="Normal (Web)"/>
    <w:basedOn w:val="Normal"/>
    <w:uiPriority w:val="99"/>
    <w:unhideWhenUsed/>
    <w:rsid w:val="00CA75B4"/>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CA75B4"/>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9E7484"/>
    <w:rPr>
      <w:b/>
      <w:bCs/>
    </w:rPr>
  </w:style>
  <w:style w:type="paragraph" w:styleId="ListParagraph">
    <w:name w:val="List Paragraph"/>
    <w:basedOn w:val="Normal"/>
    <w:uiPriority w:val="34"/>
    <w:qFormat/>
    <w:rsid w:val="007B1CF3"/>
    <w:pPr>
      <w:ind w:left="720"/>
      <w:contextualSpacing/>
    </w:pPr>
  </w:style>
  <w:style w:type="paragraph" w:styleId="NoSpacing">
    <w:name w:val="No Spacing"/>
    <w:uiPriority w:val="1"/>
    <w:qFormat/>
    <w:rsid w:val="008E62A0"/>
    <w:rPr>
      <w:sz w:val="22"/>
      <w:szCs w:val="22"/>
    </w:rPr>
  </w:style>
  <w:style w:type="character" w:styleId="Emphasis">
    <w:name w:val="Emphasis"/>
    <w:basedOn w:val="DefaultParagraphFont"/>
    <w:uiPriority w:val="20"/>
    <w:qFormat/>
    <w:rsid w:val="00B116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7456">
      <w:bodyDiv w:val="1"/>
      <w:marLeft w:val="0"/>
      <w:marRight w:val="0"/>
      <w:marTop w:val="0"/>
      <w:marBottom w:val="0"/>
      <w:divBdr>
        <w:top w:val="none" w:sz="0" w:space="0" w:color="auto"/>
        <w:left w:val="none" w:sz="0" w:space="0" w:color="auto"/>
        <w:bottom w:val="none" w:sz="0" w:space="0" w:color="auto"/>
        <w:right w:val="none" w:sz="0" w:space="0" w:color="auto"/>
      </w:divBdr>
    </w:div>
    <w:div w:id="327951761">
      <w:bodyDiv w:val="1"/>
      <w:marLeft w:val="0"/>
      <w:marRight w:val="0"/>
      <w:marTop w:val="0"/>
      <w:marBottom w:val="0"/>
      <w:divBdr>
        <w:top w:val="none" w:sz="0" w:space="0" w:color="auto"/>
        <w:left w:val="none" w:sz="0" w:space="0" w:color="auto"/>
        <w:bottom w:val="none" w:sz="0" w:space="0" w:color="auto"/>
        <w:right w:val="none" w:sz="0" w:space="0" w:color="auto"/>
      </w:divBdr>
    </w:div>
    <w:div w:id="586547870">
      <w:bodyDiv w:val="1"/>
      <w:marLeft w:val="0"/>
      <w:marRight w:val="0"/>
      <w:marTop w:val="0"/>
      <w:marBottom w:val="0"/>
      <w:divBdr>
        <w:top w:val="none" w:sz="0" w:space="0" w:color="auto"/>
        <w:left w:val="none" w:sz="0" w:space="0" w:color="auto"/>
        <w:bottom w:val="none" w:sz="0" w:space="0" w:color="auto"/>
        <w:right w:val="none" w:sz="0" w:space="0" w:color="auto"/>
      </w:divBdr>
    </w:div>
    <w:div w:id="751854170">
      <w:bodyDiv w:val="1"/>
      <w:marLeft w:val="0"/>
      <w:marRight w:val="0"/>
      <w:marTop w:val="0"/>
      <w:marBottom w:val="0"/>
      <w:divBdr>
        <w:top w:val="none" w:sz="0" w:space="0" w:color="auto"/>
        <w:left w:val="none" w:sz="0" w:space="0" w:color="auto"/>
        <w:bottom w:val="none" w:sz="0" w:space="0" w:color="auto"/>
        <w:right w:val="none" w:sz="0" w:space="0" w:color="auto"/>
      </w:divBdr>
    </w:div>
    <w:div w:id="1174606251">
      <w:bodyDiv w:val="1"/>
      <w:marLeft w:val="0"/>
      <w:marRight w:val="0"/>
      <w:marTop w:val="0"/>
      <w:marBottom w:val="0"/>
      <w:divBdr>
        <w:top w:val="none" w:sz="0" w:space="0" w:color="auto"/>
        <w:left w:val="none" w:sz="0" w:space="0" w:color="auto"/>
        <w:bottom w:val="none" w:sz="0" w:space="0" w:color="auto"/>
        <w:right w:val="none" w:sz="0" w:space="0" w:color="auto"/>
      </w:divBdr>
    </w:div>
    <w:div w:id="162673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57C74-416A-4FA0-8795-D7A7382A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11475</CharactersWithSpaces>
  <SharedDoc>false</SharedDoc>
  <HLinks>
    <vt:vector size="48" baseType="variant">
      <vt:variant>
        <vt:i4>589914</vt:i4>
      </vt:variant>
      <vt:variant>
        <vt:i4>6</vt:i4>
      </vt:variant>
      <vt:variant>
        <vt:i4>0</vt:i4>
      </vt:variant>
      <vt:variant>
        <vt:i4>5</vt:i4>
      </vt:variant>
      <vt:variant>
        <vt:lpwstr>http://www.azdvs.gov/mfrf.htm</vt:lpwstr>
      </vt:variant>
      <vt:variant>
        <vt:lpwstr/>
      </vt:variant>
      <vt:variant>
        <vt:i4>5111887</vt:i4>
      </vt:variant>
      <vt:variant>
        <vt:i4>3</vt:i4>
      </vt:variant>
      <vt:variant>
        <vt:i4>0</vt:i4>
      </vt:variant>
      <vt:variant>
        <vt:i4>5</vt:i4>
      </vt:variant>
      <vt:variant>
        <vt:lpwstr>http://www.azdor.gov/TaxCredits/CharitableTaxCredit.aspx</vt:lpwstr>
      </vt:variant>
      <vt:variant>
        <vt:lpwstr/>
      </vt:variant>
      <vt:variant>
        <vt:i4>917514</vt:i4>
      </vt:variant>
      <vt:variant>
        <vt:i4>0</vt:i4>
      </vt:variant>
      <vt:variant>
        <vt:i4>0</vt:i4>
      </vt:variant>
      <vt:variant>
        <vt:i4>5</vt:i4>
      </vt:variant>
      <vt:variant>
        <vt:lpwstr>http://www.energystar.gov/index.cfm?c=tax_credits.tx_index</vt:lpwstr>
      </vt:variant>
      <vt:variant>
        <vt:lpwstr/>
      </vt:variant>
      <vt:variant>
        <vt:i4>6946877</vt:i4>
      </vt:variant>
      <vt:variant>
        <vt:i4>12</vt:i4>
      </vt:variant>
      <vt:variant>
        <vt:i4>0</vt:i4>
      </vt:variant>
      <vt:variant>
        <vt:i4>5</vt:i4>
      </vt:variant>
      <vt:variant>
        <vt:lpwstr>http://www.azcc.gov/Divisions/Corporations/</vt:lpwstr>
      </vt:variant>
      <vt:variant>
        <vt:lpwstr/>
      </vt:variant>
      <vt:variant>
        <vt:i4>1441862</vt:i4>
      </vt:variant>
      <vt:variant>
        <vt:i4>9</vt:i4>
      </vt:variant>
      <vt:variant>
        <vt:i4>0</vt:i4>
      </vt:variant>
      <vt:variant>
        <vt:i4>5</vt:i4>
      </vt:variant>
      <vt:variant>
        <vt:lpwstr>http://www.tucsonaz.gov/water/rebate</vt:lpwstr>
      </vt:variant>
      <vt:variant>
        <vt:lpwstr/>
      </vt:variant>
      <vt:variant>
        <vt:i4>589914</vt:i4>
      </vt:variant>
      <vt:variant>
        <vt:i4>6</vt:i4>
      </vt:variant>
      <vt:variant>
        <vt:i4>0</vt:i4>
      </vt:variant>
      <vt:variant>
        <vt:i4>5</vt:i4>
      </vt:variant>
      <vt:variant>
        <vt:lpwstr>http://www.azdvs.gov/mfrf.htm</vt:lpwstr>
      </vt:variant>
      <vt:variant>
        <vt:lpwstr/>
      </vt:variant>
      <vt:variant>
        <vt:i4>5111887</vt:i4>
      </vt:variant>
      <vt:variant>
        <vt:i4>3</vt:i4>
      </vt:variant>
      <vt:variant>
        <vt:i4>0</vt:i4>
      </vt:variant>
      <vt:variant>
        <vt:i4>5</vt:i4>
      </vt:variant>
      <vt:variant>
        <vt:lpwstr>http://www.azdor.gov/TaxCredits/CharitableTaxCredit.aspx</vt:lpwstr>
      </vt:variant>
      <vt:variant>
        <vt:lpwstr/>
      </vt:variant>
      <vt:variant>
        <vt:i4>917514</vt:i4>
      </vt:variant>
      <vt:variant>
        <vt:i4>0</vt:i4>
      </vt:variant>
      <vt:variant>
        <vt:i4>0</vt:i4>
      </vt:variant>
      <vt:variant>
        <vt:i4>5</vt:i4>
      </vt:variant>
      <vt:variant>
        <vt:lpwstr>http://www.energystar.gov/index.cfm?c=tax_credits.tx_index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SandiS</dc:creator>
  <cp:lastModifiedBy>Robert Ramirez</cp:lastModifiedBy>
  <cp:revision>21</cp:revision>
  <cp:lastPrinted>2013-01-09T16:32:00Z</cp:lastPrinted>
  <dcterms:created xsi:type="dcterms:W3CDTF">2013-01-08T20:03:00Z</dcterms:created>
  <dcterms:modified xsi:type="dcterms:W3CDTF">2013-01-22T18:28:00Z</dcterms:modified>
</cp:coreProperties>
</file>